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F5A4E">
      <w:pPr>
        <w:jc w:val="center"/>
        <w:rPr>
          <w:rFonts w:hint="eastAsia" w:ascii="微软雅黑" w:hAnsi="微软雅黑" w:eastAsia="微软雅黑" w:cs="微软雅黑"/>
          <w:i w:val="0"/>
          <w:iCs w:val="0"/>
          <w:caps w:val="0"/>
          <w:color w:val="6D6D6D"/>
          <w:spacing w:val="0"/>
          <w:kern w:val="0"/>
          <w:sz w:val="33"/>
          <w:szCs w:val="33"/>
          <w:shd w:val="clear" w:fill="FFFFFF"/>
          <w:lang w:val="en-US" w:eastAsia="zh-CN" w:bidi="ar"/>
        </w:rPr>
      </w:pPr>
      <w:r>
        <w:rPr>
          <w:rFonts w:hint="eastAsia" w:ascii="微软雅黑" w:hAnsi="微软雅黑" w:eastAsia="微软雅黑" w:cs="微软雅黑"/>
          <w:i w:val="0"/>
          <w:iCs w:val="0"/>
          <w:caps w:val="0"/>
          <w:color w:val="6D6D6D"/>
          <w:spacing w:val="0"/>
          <w:kern w:val="0"/>
          <w:sz w:val="33"/>
          <w:szCs w:val="33"/>
          <w:shd w:val="clear" w:fill="FFFFFF"/>
          <w:lang w:val="en-US" w:eastAsia="zh-CN" w:bidi="ar"/>
        </w:rPr>
        <w:t>关于发布《北京证券交易所债券交易规则》的公告</w:t>
      </w:r>
    </w:p>
    <w:p w14:paraId="26753B7C">
      <w:pPr>
        <w:jc w:val="center"/>
        <w:rPr>
          <w:rFonts w:hint="eastAsia" w:ascii="微软雅黑" w:hAnsi="微软雅黑" w:eastAsia="微软雅黑" w:cs="微软雅黑"/>
          <w:i w:val="0"/>
          <w:iCs w:val="0"/>
          <w:caps w:val="0"/>
          <w:color w:val="6D6D6D"/>
          <w:spacing w:val="0"/>
          <w:kern w:val="0"/>
          <w:sz w:val="33"/>
          <w:szCs w:val="33"/>
          <w:shd w:val="clear" w:fill="FFFFFF"/>
          <w:lang w:val="en-US" w:eastAsia="zh-CN" w:bidi="ar"/>
        </w:rPr>
      </w:pPr>
    </w:p>
    <w:p w14:paraId="791069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ascii="Calibri" w:hAnsi="Calibri" w:cs="Calibri"/>
          <w:i w:val="0"/>
          <w:iCs w:val="0"/>
          <w:caps w:val="0"/>
          <w:color w:val="333333"/>
          <w:spacing w:val="0"/>
          <w:sz w:val="31"/>
          <w:szCs w:val="31"/>
        </w:rPr>
      </w:pPr>
      <w:r>
        <w:rPr>
          <w:rFonts w:ascii="微软雅黑" w:hAnsi="微软雅黑" w:eastAsia="微软雅黑" w:cs="微软雅黑"/>
          <w:i w:val="0"/>
          <w:iCs w:val="0"/>
          <w:caps w:val="0"/>
          <w:color w:val="6D6D6D"/>
          <w:spacing w:val="0"/>
          <w:sz w:val="16"/>
          <w:szCs w:val="16"/>
          <w:shd w:val="clear" w:fill="FFFFFF"/>
        </w:rPr>
        <w:t>北证公告〔2023〕82号</w:t>
      </w:r>
    </w:p>
    <w:p w14:paraId="0A436F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default" w:ascii="Calibri" w:hAnsi="Calibri" w:cs="Calibri"/>
          <w:i w:val="0"/>
          <w:iCs w:val="0"/>
          <w:caps w:val="0"/>
          <w:color w:val="333333"/>
          <w:spacing w:val="0"/>
          <w:sz w:val="31"/>
          <w:szCs w:val="31"/>
        </w:rPr>
      </w:pPr>
      <w:r>
        <w:rPr>
          <w:rFonts w:hint="eastAsia" w:ascii="微软雅黑" w:hAnsi="微软雅黑" w:eastAsia="微软雅黑" w:cs="微软雅黑"/>
          <w:i w:val="0"/>
          <w:iCs w:val="0"/>
          <w:caps w:val="0"/>
          <w:color w:val="6D6D6D"/>
          <w:spacing w:val="0"/>
          <w:sz w:val="22"/>
          <w:szCs w:val="22"/>
          <w:shd w:val="clear" w:fill="FFFFFF"/>
        </w:rPr>
        <w:t> </w:t>
      </w:r>
      <w:bookmarkStart w:id="0" w:name="_GoBack"/>
      <w:bookmarkEnd w:id="0"/>
    </w:p>
    <w:p w14:paraId="0763A9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default" w:ascii="Calibri" w:hAnsi="Calibri" w:cs="Calibri"/>
          <w:i w:val="0"/>
          <w:iCs w:val="0"/>
          <w:caps w:val="0"/>
          <w:color w:val="333333"/>
          <w:spacing w:val="0"/>
          <w:sz w:val="31"/>
          <w:szCs w:val="31"/>
        </w:rPr>
      </w:pPr>
      <w:r>
        <w:rPr>
          <w:rFonts w:hint="eastAsia" w:ascii="微软雅黑" w:hAnsi="微软雅黑" w:eastAsia="微软雅黑" w:cs="微软雅黑"/>
          <w:i w:val="0"/>
          <w:iCs w:val="0"/>
          <w:caps w:val="0"/>
          <w:color w:val="6D6D6D"/>
          <w:spacing w:val="0"/>
          <w:sz w:val="22"/>
          <w:szCs w:val="22"/>
          <w:shd w:val="clear" w:fill="FFFFFF"/>
        </w:rPr>
        <w:t>为了贯彻落实党中央、国务院关于机构改革的决策部署，做好企业债券发行审核职责划转工作衔接，规范债券交易行为，保护债券投资者合法权益，维护债券市场秩序，北京证券交易所制定了《北京证券交易所债券交易规则》（以下简称《债券交易规则》，附件1），经中国证监会批准，现予以发布，并就有关事项公告如下：</w:t>
      </w:r>
    </w:p>
    <w:p w14:paraId="14A9AE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default" w:ascii="Calibri" w:hAnsi="Calibri" w:cs="Calibri"/>
          <w:i w:val="0"/>
          <w:iCs w:val="0"/>
          <w:caps w:val="0"/>
          <w:color w:val="333333"/>
          <w:spacing w:val="0"/>
          <w:sz w:val="31"/>
          <w:szCs w:val="31"/>
        </w:rPr>
      </w:pPr>
      <w:r>
        <w:rPr>
          <w:rFonts w:hint="eastAsia" w:ascii="微软雅黑" w:hAnsi="微软雅黑" w:eastAsia="微软雅黑" w:cs="微软雅黑"/>
          <w:i w:val="0"/>
          <w:iCs w:val="0"/>
          <w:caps w:val="0"/>
          <w:color w:val="6D6D6D"/>
          <w:spacing w:val="0"/>
          <w:sz w:val="22"/>
          <w:szCs w:val="22"/>
          <w:shd w:val="clear" w:fill="FFFFFF"/>
        </w:rPr>
        <w:t>一、《债券交易规则》施行安排</w:t>
      </w:r>
    </w:p>
    <w:p w14:paraId="0459CE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default" w:ascii="Calibri" w:hAnsi="Calibri" w:cs="Calibri"/>
          <w:i w:val="0"/>
          <w:iCs w:val="0"/>
          <w:caps w:val="0"/>
          <w:color w:val="333333"/>
          <w:spacing w:val="0"/>
          <w:sz w:val="31"/>
          <w:szCs w:val="31"/>
        </w:rPr>
      </w:pPr>
      <w:r>
        <w:rPr>
          <w:rFonts w:hint="eastAsia" w:ascii="微软雅黑" w:hAnsi="微软雅黑" w:eastAsia="微软雅黑" w:cs="微软雅黑"/>
          <w:i w:val="0"/>
          <w:iCs w:val="0"/>
          <w:caps w:val="0"/>
          <w:color w:val="6D6D6D"/>
          <w:spacing w:val="0"/>
          <w:sz w:val="22"/>
          <w:szCs w:val="22"/>
          <w:shd w:val="clear" w:fill="FFFFFF"/>
        </w:rPr>
        <w:t>《债券交易规则》自发布之日起施行。考虑到市场业务和技术整体准备情况，《债券交易规则》部分内容暂缓实施（见附件2），相关条款具体施行时间由本所另行通知。</w:t>
      </w:r>
    </w:p>
    <w:p w14:paraId="279835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default" w:ascii="Calibri" w:hAnsi="Calibri" w:cs="Calibri"/>
          <w:i w:val="0"/>
          <w:iCs w:val="0"/>
          <w:caps w:val="0"/>
          <w:color w:val="333333"/>
          <w:spacing w:val="0"/>
          <w:sz w:val="31"/>
          <w:szCs w:val="31"/>
        </w:rPr>
      </w:pPr>
      <w:r>
        <w:rPr>
          <w:rFonts w:hint="eastAsia" w:ascii="微软雅黑" w:hAnsi="微软雅黑" w:eastAsia="微软雅黑" w:cs="微软雅黑"/>
          <w:i w:val="0"/>
          <w:iCs w:val="0"/>
          <w:caps w:val="0"/>
          <w:color w:val="6D6D6D"/>
          <w:spacing w:val="0"/>
          <w:sz w:val="22"/>
          <w:szCs w:val="22"/>
          <w:shd w:val="clear" w:fill="FFFFFF"/>
        </w:rPr>
        <w:t>二、交易方式适用安排</w:t>
      </w:r>
    </w:p>
    <w:p w14:paraId="16EB96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default" w:ascii="Calibri" w:hAnsi="Calibri" w:cs="Calibri"/>
          <w:i w:val="0"/>
          <w:iCs w:val="0"/>
          <w:caps w:val="0"/>
          <w:color w:val="333333"/>
          <w:spacing w:val="0"/>
          <w:sz w:val="31"/>
          <w:szCs w:val="31"/>
        </w:rPr>
      </w:pPr>
      <w:r>
        <w:rPr>
          <w:rFonts w:hint="eastAsia" w:ascii="微软雅黑" w:hAnsi="微软雅黑" w:eastAsia="微软雅黑" w:cs="微软雅黑"/>
          <w:i w:val="0"/>
          <w:iCs w:val="0"/>
          <w:caps w:val="0"/>
          <w:color w:val="6D6D6D"/>
          <w:spacing w:val="0"/>
          <w:sz w:val="22"/>
          <w:szCs w:val="22"/>
          <w:shd w:val="clear" w:fill="FFFFFF"/>
        </w:rPr>
        <w:t>根据《债券交易规则》第3.1.3条的规定，本所根据债券信用资质、发行方式和投资者适当性等不同特点安排差异化的交易方式。</w:t>
      </w:r>
    </w:p>
    <w:p w14:paraId="6C9313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default" w:ascii="Calibri" w:hAnsi="Calibri" w:cs="Calibri"/>
          <w:i w:val="0"/>
          <w:iCs w:val="0"/>
          <w:caps w:val="0"/>
          <w:color w:val="333333"/>
          <w:spacing w:val="0"/>
          <w:sz w:val="31"/>
          <w:szCs w:val="31"/>
        </w:rPr>
      </w:pPr>
      <w:r>
        <w:rPr>
          <w:rFonts w:hint="eastAsia" w:ascii="微软雅黑" w:hAnsi="微软雅黑" w:eastAsia="微软雅黑" w:cs="微软雅黑"/>
          <w:i w:val="0"/>
          <w:iCs w:val="0"/>
          <w:caps w:val="0"/>
          <w:color w:val="6D6D6D"/>
          <w:spacing w:val="0"/>
          <w:sz w:val="22"/>
          <w:szCs w:val="22"/>
          <w:shd w:val="clear" w:fill="FFFFFF"/>
        </w:rPr>
        <w:t>公开发行债券的现券交易可采用匹配成交、点击成交、询价成交、竞买成交及协商成交交易方式，本所另有规定的除外。初期仅支持匹配成交、协商成交方式。</w:t>
      </w:r>
    </w:p>
    <w:p w14:paraId="30D8D3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default" w:ascii="Calibri" w:hAnsi="Calibri" w:cs="Calibri"/>
          <w:i w:val="0"/>
          <w:iCs w:val="0"/>
          <w:caps w:val="0"/>
          <w:color w:val="333333"/>
          <w:spacing w:val="0"/>
          <w:sz w:val="31"/>
          <w:szCs w:val="31"/>
        </w:rPr>
      </w:pPr>
      <w:r>
        <w:rPr>
          <w:rFonts w:hint="eastAsia" w:ascii="微软雅黑" w:hAnsi="微软雅黑" w:eastAsia="微软雅黑" w:cs="微软雅黑"/>
          <w:i w:val="0"/>
          <w:iCs w:val="0"/>
          <w:caps w:val="0"/>
          <w:color w:val="6D6D6D"/>
          <w:spacing w:val="0"/>
          <w:sz w:val="22"/>
          <w:szCs w:val="22"/>
          <w:shd w:val="clear" w:fill="FFFFFF"/>
        </w:rPr>
        <w:t>三、债券交易收费相关安排</w:t>
      </w:r>
    </w:p>
    <w:p w14:paraId="45AC28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default" w:ascii="Calibri" w:hAnsi="Calibri" w:cs="Calibri"/>
          <w:i w:val="0"/>
          <w:iCs w:val="0"/>
          <w:caps w:val="0"/>
          <w:color w:val="333333"/>
          <w:spacing w:val="0"/>
          <w:sz w:val="31"/>
          <w:szCs w:val="31"/>
        </w:rPr>
      </w:pPr>
      <w:r>
        <w:rPr>
          <w:rFonts w:hint="eastAsia" w:ascii="微软雅黑" w:hAnsi="微软雅黑" w:eastAsia="微软雅黑" w:cs="微软雅黑"/>
          <w:i w:val="0"/>
          <w:iCs w:val="0"/>
          <w:caps w:val="0"/>
          <w:color w:val="6D6D6D"/>
          <w:spacing w:val="0"/>
          <w:sz w:val="22"/>
          <w:szCs w:val="22"/>
          <w:shd w:val="clear" w:fill="FFFFFF"/>
        </w:rPr>
        <w:t>根据《债券交易规则》第10.4条，债券交易参与人和其他债券投资者应当按照规定向本所交纳债券交易相关费用，包括债券交易经手费、交易单元费等。为降低市场主体成本，激发市场活力，本所暂免收取相关费用，具体安排如下：</w:t>
      </w:r>
    </w:p>
    <w:p w14:paraId="4D032E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default" w:ascii="Calibri" w:hAnsi="Calibri" w:cs="Calibri"/>
          <w:i w:val="0"/>
          <w:iCs w:val="0"/>
          <w:caps w:val="0"/>
          <w:color w:val="333333"/>
          <w:spacing w:val="0"/>
          <w:sz w:val="31"/>
          <w:szCs w:val="31"/>
        </w:rPr>
      </w:pPr>
      <w:r>
        <w:rPr>
          <w:rFonts w:hint="eastAsia" w:ascii="微软雅黑" w:hAnsi="微软雅黑" w:eastAsia="微软雅黑" w:cs="微软雅黑"/>
          <w:i w:val="0"/>
          <w:iCs w:val="0"/>
          <w:caps w:val="0"/>
          <w:color w:val="6D6D6D"/>
          <w:spacing w:val="0"/>
          <w:sz w:val="22"/>
          <w:szCs w:val="22"/>
          <w:shd w:val="clear" w:fill="FFFFFF"/>
        </w:rPr>
        <w:t>（一）暂免收取债券现券（不含可转换公司债券）交易经手费至2025年6月30日。</w:t>
      </w:r>
    </w:p>
    <w:p w14:paraId="2253ED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default" w:ascii="Calibri" w:hAnsi="Calibri" w:cs="Calibri"/>
          <w:i w:val="0"/>
          <w:iCs w:val="0"/>
          <w:caps w:val="0"/>
          <w:color w:val="333333"/>
          <w:spacing w:val="0"/>
          <w:sz w:val="31"/>
          <w:szCs w:val="31"/>
        </w:rPr>
      </w:pPr>
      <w:r>
        <w:rPr>
          <w:rFonts w:hint="eastAsia" w:ascii="微软雅黑" w:hAnsi="微软雅黑" w:eastAsia="微软雅黑" w:cs="微软雅黑"/>
          <w:i w:val="0"/>
          <w:iCs w:val="0"/>
          <w:caps w:val="0"/>
          <w:color w:val="6D6D6D"/>
          <w:spacing w:val="0"/>
          <w:sz w:val="22"/>
          <w:szCs w:val="22"/>
          <w:shd w:val="clear" w:fill="FFFFFF"/>
        </w:rPr>
        <w:t>（二）暂免收取债券专用交易单元使用费、债券专用交易单元流速费、债券现券（不含可转换公司债券）交易的流量费；对于非会员类债券交易参与人，暂免收取交易单元开设初费。</w:t>
      </w:r>
    </w:p>
    <w:p w14:paraId="38D2CD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default" w:ascii="Calibri" w:hAnsi="Calibri" w:cs="Calibri"/>
          <w:i w:val="0"/>
          <w:iCs w:val="0"/>
          <w:caps w:val="0"/>
          <w:color w:val="333333"/>
          <w:spacing w:val="0"/>
          <w:sz w:val="31"/>
          <w:szCs w:val="31"/>
        </w:rPr>
      </w:pPr>
      <w:r>
        <w:rPr>
          <w:rFonts w:hint="eastAsia" w:ascii="微软雅黑" w:hAnsi="微软雅黑" w:eastAsia="微软雅黑" w:cs="微软雅黑"/>
          <w:i w:val="0"/>
          <w:iCs w:val="0"/>
          <w:caps w:val="0"/>
          <w:color w:val="6D6D6D"/>
          <w:spacing w:val="0"/>
          <w:sz w:val="22"/>
          <w:szCs w:val="22"/>
          <w:shd w:val="clear" w:fill="FFFFFF"/>
        </w:rPr>
        <w:t>请各市场参与人依据本规则尽快做好相关业务和技术准备工作。本所将在各项准备工作就绪后，正式启动债券交易，具体时间另行通知。</w:t>
      </w:r>
    </w:p>
    <w:p w14:paraId="30B845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both"/>
        <w:rPr>
          <w:rFonts w:hint="default" w:ascii="Calibri" w:hAnsi="Calibri" w:cs="Calibri"/>
          <w:i w:val="0"/>
          <w:iCs w:val="0"/>
          <w:caps w:val="0"/>
          <w:color w:val="333333"/>
          <w:spacing w:val="0"/>
          <w:sz w:val="31"/>
          <w:szCs w:val="31"/>
        </w:rPr>
      </w:pPr>
      <w:r>
        <w:rPr>
          <w:rFonts w:hint="eastAsia" w:ascii="微软雅黑" w:hAnsi="微软雅黑" w:eastAsia="微软雅黑" w:cs="微软雅黑"/>
          <w:i w:val="0"/>
          <w:iCs w:val="0"/>
          <w:caps w:val="0"/>
          <w:color w:val="6D6D6D"/>
          <w:spacing w:val="0"/>
          <w:sz w:val="22"/>
          <w:szCs w:val="22"/>
          <w:shd w:val="clear" w:fill="FFFFFF"/>
        </w:rPr>
        <w:t>特此公告。</w:t>
      </w:r>
    </w:p>
    <w:p w14:paraId="287F105B">
      <w:pPr>
        <w:rPr>
          <w:rFonts w:ascii="微软雅黑" w:hAnsi="微软雅黑" w:eastAsia="微软雅黑" w:cs="微软雅黑"/>
          <w:i w:val="0"/>
          <w:iCs w:val="0"/>
          <w:caps w:val="0"/>
          <w:color w:val="333333"/>
          <w:spacing w:val="0"/>
          <w:sz w:val="33"/>
          <w:szCs w:val="33"/>
          <w:shd w:val="clear" w:fill="FFFFFF"/>
        </w:rPr>
      </w:pPr>
    </w:p>
    <w:p w14:paraId="550AD5E5">
      <w:pPr>
        <w:rPr>
          <w:rFonts w:ascii="微软雅黑" w:hAnsi="微软雅黑" w:eastAsia="微软雅黑" w:cs="微软雅黑"/>
          <w:i w:val="0"/>
          <w:iCs w:val="0"/>
          <w:caps w:val="0"/>
          <w:color w:val="333333"/>
          <w:spacing w:val="0"/>
          <w:sz w:val="33"/>
          <w:szCs w:val="33"/>
          <w:shd w:val="clear" w:fill="FFFFFF"/>
        </w:rPr>
      </w:pPr>
    </w:p>
    <w:p w14:paraId="4A35B574">
      <w:pPr>
        <w:rPr>
          <w:rFonts w:ascii="微软雅黑" w:hAnsi="微软雅黑" w:eastAsia="微软雅黑" w:cs="微软雅黑"/>
          <w:i w:val="0"/>
          <w:iCs w:val="0"/>
          <w:caps w:val="0"/>
          <w:color w:val="333333"/>
          <w:spacing w:val="0"/>
          <w:sz w:val="33"/>
          <w:szCs w:val="33"/>
          <w:shd w:val="clear" w:fill="FFFFFF"/>
        </w:rPr>
      </w:pPr>
    </w:p>
    <w:p w14:paraId="7543FBE0">
      <w:pPr>
        <w:rPr>
          <w:rFonts w:ascii="微软雅黑" w:hAnsi="微软雅黑" w:eastAsia="微软雅黑" w:cs="微软雅黑"/>
          <w:i w:val="0"/>
          <w:iCs w:val="0"/>
          <w:caps w:val="0"/>
          <w:color w:val="333333"/>
          <w:spacing w:val="0"/>
          <w:sz w:val="33"/>
          <w:szCs w:val="33"/>
          <w:shd w:val="clear" w:fill="FFFFFF"/>
        </w:rPr>
      </w:pPr>
    </w:p>
    <w:p w14:paraId="18400E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right"/>
        <w:rPr>
          <w:rFonts w:ascii="Calibri" w:hAnsi="Calibri" w:cs="Calibri"/>
          <w:i w:val="0"/>
          <w:iCs w:val="0"/>
          <w:caps w:val="0"/>
          <w:color w:val="333333"/>
          <w:spacing w:val="0"/>
          <w:sz w:val="31"/>
          <w:szCs w:val="31"/>
        </w:rPr>
      </w:pPr>
      <w:r>
        <w:rPr>
          <w:rFonts w:ascii="微软雅黑" w:hAnsi="微软雅黑" w:eastAsia="微软雅黑" w:cs="微软雅黑"/>
          <w:i w:val="0"/>
          <w:iCs w:val="0"/>
          <w:caps w:val="0"/>
          <w:color w:val="6D6D6D"/>
          <w:spacing w:val="0"/>
          <w:sz w:val="22"/>
          <w:szCs w:val="22"/>
          <w:shd w:val="clear" w:fill="FFFFFF"/>
        </w:rPr>
        <w:t>       北京证券交易所</w:t>
      </w:r>
    </w:p>
    <w:p w14:paraId="134180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00"/>
        <w:jc w:val="right"/>
        <w:rPr>
          <w:rFonts w:hint="default" w:ascii="Calibri" w:hAnsi="Calibri" w:cs="Calibri"/>
          <w:i w:val="0"/>
          <w:iCs w:val="0"/>
          <w:caps w:val="0"/>
          <w:color w:val="333333"/>
          <w:spacing w:val="0"/>
          <w:sz w:val="31"/>
          <w:szCs w:val="31"/>
        </w:rPr>
      </w:pPr>
      <w:r>
        <w:rPr>
          <w:rFonts w:hint="eastAsia" w:ascii="微软雅黑" w:hAnsi="微软雅黑" w:eastAsia="微软雅黑" w:cs="微软雅黑"/>
          <w:i w:val="0"/>
          <w:iCs w:val="0"/>
          <w:caps w:val="0"/>
          <w:color w:val="6D6D6D"/>
          <w:spacing w:val="0"/>
          <w:sz w:val="22"/>
          <w:szCs w:val="22"/>
          <w:shd w:val="clear" w:fill="FFFFFF"/>
        </w:rPr>
        <w:t>                         2023年10月20日</w:t>
      </w:r>
    </w:p>
    <w:p w14:paraId="7FA06C6E">
      <w:pPr>
        <w:rPr>
          <w:rFonts w:ascii="微软雅黑" w:hAnsi="微软雅黑" w:eastAsia="微软雅黑" w:cs="微软雅黑"/>
          <w:i w:val="0"/>
          <w:iCs w:val="0"/>
          <w:caps w:val="0"/>
          <w:color w:val="333333"/>
          <w:spacing w:val="0"/>
          <w:sz w:val="33"/>
          <w:szCs w:val="33"/>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F0D7F"/>
    <w:rsid w:val="2BF110D4"/>
    <w:rsid w:val="477B549A"/>
    <w:rsid w:val="7A8D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705</Words>
  <Characters>725</Characters>
  <Lines>0</Lines>
  <Paragraphs>0</Paragraphs>
  <TotalTime>0</TotalTime>
  <ScaleCrop>false</ScaleCrop>
  <LinksUpToDate>false</LinksUpToDate>
  <CharactersWithSpaces>758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2025-06-16T07:06:00Z</dcterms:created>
  <dc:creator>Huangw</dc:creator>
  <cp:lastModifiedBy>杨贺</cp:lastModifiedBy>
  <dcterms:modified xsi:type="dcterms:W3CDTF">2025-06-16T07:08:31Z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eyJoZGlkIjoiZDczOGNkODRiM2I0NGE1ZDk0YWJlODBhZjUxODFiOGQiLCJ1c2VySWQiOiIxNTg1OTk0MDYyIn0=</vt:lpwstr>
  </property>
  <property fmtid="{D5CDD505-2E9C-101B-9397-08002B2CF9AE}" pid="4" name="ICV">
    <vt:lpwstr>DB0FD9B7811F48ABBEF18B44C107A843_12</vt:lpwstr>
  </property>
</Properties>
</file>