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A1F3D">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东北证券股份有限公司公开募集</w:t>
      </w:r>
      <w:r>
        <w:rPr>
          <w:rFonts w:hint="eastAsia" w:ascii="宋体" w:hAnsi="宋体" w:cs="宋体"/>
          <w:b/>
          <w:bCs/>
          <w:color w:val="auto"/>
          <w:sz w:val="32"/>
          <w:szCs w:val="32"/>
          <w:lang w:val="en-US" w:eastAsia="zh-CN"/>
        </w:rPr>
        <w:t>不动产投资信托基金</w:t>
      </w:r>
      <w:r>
        <w:rPr>
          <w:rFonts w:hint="eastAsia" w:ascii="宋体" w:hAnsi="宋体" w:eastAsia="宋体" w:cs="宋体"/>
          <w:b/>
          <w:bCs/>
          <w:color w:val="auto"/>
          <w:sz w:val="32"/>
          <w:szCs w:val="32"/>
        </w:rPr>
        <w:t>（REITs）风险揭示书</w:t>
      </w:r>
    </w:p>
    <w:p w14:paraId="586BDEE6">
      <w:pPr>
        <w:jc w:val="both"/>
        <w:rPr>
          <w:rFonts w:ascii="黑体" w:hAnsi="黑体" w:eastAsia="黑体"/>
          <w:color w:val="auto"/>
          <w:sz w:val="36"/>
          <w:szCs w:val="36"/>
        </w:rPr>
      </w:pPr>
    </w:p>
    <w:p w14:paraId="4A705864">
      <w:pPr>
        <w:adjustRightInd w:val="0"/>
        <w:snapToGrid w:val="0"/>
        <w:spacing w:line="360" w:lineRule="auto"/>
        <w:ind w:firstLine="420" w:firstLineChars="200"/>
      </w:pPr>
      <w:r>
        <w:rPr>
          <w:rFonts w:hint="eastAsia"/>
          <w:lang w:val="en-US" w:eastAsia="zh-CN"/>
        </w:rPr>
        <w:t>公开募集不动产投资信托基金（以下简称不动产基金）采用</w:t>
      </w:r>
      <w:r>
        <w:rPr>
          <w:rFonts w:hint="eastAsia"/>
        </w:rPr>
        <w:t>“公募基金+资产支持证券”的产品结构，主要特点如下：一是不动产基金与投资股票或者债券等公募基金具有不同的风险收益特征，</w:t>
      </w:r>
      <w:r>
        <w:rPr>
          <w:rFonts w:hint="eastAsia" w:ascii="Times New Roman"/>
        </w:rPr>
        <w:t>80%</w:t>
      </w:r>
      <w:r>
        <w:rPr>
          <w:rFonts w:hint="eastAsia"/>
        </w:rPr>
        <w:t>以上基金资产投资于不动产资产支持证券，并持有其全部份额，基金通过不动产资产支持证券持有不动产项目公司全部股权，穿透取得不动产项目完全所有权或者经营权利；二是不动产基金以获取不动产项目租金、收费等稳定现金流为主要目的，收益分配比例不低于合并后基金年度可供分配金额的</w:t>
      </w:r>
      <w:r>
        <w:rPr>
          <w:rFonts w:hint="eastAsia" w:ascii="Times New Roman"/>
        </w:rPr>
        <w:t>90%</w:t>
      </w:r>
      <w:r>
        <w:rPr>
          <w:rFonts w:hint="eastAsia"/>
        </w:rPr>
        <w:t>；三是不动产基金采取封闭式运作，不开放申购与赎回，在证券交易所上市，场外份额持有人需将基金份额转托管至场内才可卖出或者申报预受要约。</w:t>
      </w:r>
    </w:p>
    <w:p w14:paraId="52FBD582">
      <w:pPr>
        <w:adjustRightInd w:val="0"/>
        <w:snapToGrid w:val="0"/>
        <w:spacing w:line="360" w:lineRule="auto"/>
        <w:ind w:firstLine="420" w:firstLineChars="200"/>
      </w:pPr>
      <w:r>
        <w:rPr>
          <w:rFonts w:hint="eastAsia"/>
        </w:rPr>
        <w:t>投资不动产基金可能面临下列风险，包括但不限于：</w:t>
      </w:r>
    </w:p>
    <w:p w14:paraId="223ACC9F">
      <w:pPr>
        <w:adjustRightInd w:val="0"/>
        <w:snapToGrid w:val="0"/>
        <w:spacing w:line="360" w:lineRule="auto"/>
        <w:ind w:firstLine="420" w:firstLineChars="200"/>
      </w:pPr>
      <w:r>
        <w:rPr>
          <w:rFonts w:hint="eastAsia"/>
        </w:rPr>
        <w:t>一、基金价格波动风险。不动产基金大部分资产投资于不动产项目，具有权益属性，受经济环境、运营管理等因素影响，不动产项目市场价值以及现金流情况可能发生变化，可能引起不动产基金价格波动，甚至存在不动产项目遭遇极端事件（如地震、台风、火灾、战争等）发生较大损失而影响基金价格的风险。</w:t>
      </w:r>
      <w:bookmarkStart w:id="0" w:name="_GoBack"/>
      <w:bookmarkEnd w:id="0"/>
    </w:p>
    <w:p w14:paraId="44C8B4EC">
      <w:pPr>
        <w:adjustRightInd w:val="0"/>
        <w:snapToGrid w:val="0"/>
        <w:spacing w:line="360" w:lineRule="auto"/>
        <w:ind w:firstLine="420" w:firstLineChars="200"/>
      </w:pPr>
      <w:r>
        <w:rPr>
          <w:rFonts w:hint="eastAsia"/>
        </w:rPr>
        <w:t>二、不动产项目运营风险。不动产基金投资集中度高，收益率很大程度依赖不动产项目运营情况，不动产项目可能因经济环境变化或者运营不善等因素影响，导致实际现金流大幅低于测算现金流，存在基金收益率不佳的风险，不动产项目运营过程中租金、收费等收入的波动也将影响基金收益分配水平的稳定。此外，不动产基金可直接或者间接对外借款，存在不动产项目经营不达预期，基金无法偿还借款的风险。</w:t>
      </w:r>
    </w:p>
    <w:p w14:paraId="62D18E4F">
      <w:pPr>
        <w:adjustRightInd w:val="0"/>
        <w:snapToGrid w:val="0"/>
        <w:spacing w:line="360" w:lineRule="auto"/>
        <w:ind w:firstLine="420" w:firstLineChars="200"/>
      </w:pPr>
      <w:r>
        <w:rPr>
          <w:rFonts w:hint="eastAsia"/>
        </w:rPr>
        <w:t>三、流动性风险。不动产基金采取封闭式运作，不开通申购赎回，只能在二级市场交易，存在流动性不足的风险。</w:t>
      </w:r>
    </w:p>
    <w:p w14:paraId="1C4D5EF8">
      <w:pPr>
        <w:adjustRightInd w:val="0"/>
        <w:snapToGrid w:val="0"/>
        <w:spacing w:line="360" w:lineRule="auto"/>
        <w:ind w:firstLine="420" w:firstLineChars="200"/>
      </w:pPr>
      <w:r>
        <w:rPr>
          <w:rFonts w:hint="eastAsia"/>
        </w:rPr>
        <w:t>四、终止上市风险。不动产基金运作过程中可能因触发交易所业务规则规定的终止上市情形而终止上市，导致投资者无法在二级市场交易。</w:t>
      </w:r>
    </w:p>
    <w:p w14:paraId="5F4103A5">
      <w:pPr>
        <w:adjustRightInd w:val="0"/>
        <w:snapToGrid w:val="0"/>
        <w:spacing w:line="360" w:lineRule="auto"/>
        <w:ind w:firstLine="420" w:firstLineChars="200"/>
      </w:pPr>
      <w:r>
        <w:rPr>
          <w:rFonts w:hint="eastAsia"/>
        </w:rPr>
        <w:t>五、税收等政策调整风险。不动产基金运作过程中可能涉及基金持有人、公募基金、资产支持证券、项目公司等多层面税负，如果国家税收等政策发生调整，可能影响投资运作与基金收益。</w:t>
      </w:r>
    </w:p>
    <w:p w14:paraId="2C32337B">
      <w:pPr>
        <w:pStyle w:val="7"/>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投资者参与该项服务前，请充分了解该项服务可能存在的以下事项，包括但不限于：</w:t>
      </w:r>
    </w:p>
    <w:p w14:paraId="62E433DD">
      <w:pPr>
        <w:pStyle w:val="7"/>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可能存在直接导致投资者本金亏损或者直接导致超过原始本金损失的事项；</w:t>
      </w:r>
    </w:p>
    <w:p w14:paraId="0A4E1E1C">
      <w:pPr>
        <w:pStyle w:val="7"/>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我公司因停业、解散、撤销、破产，或者被中国证监会撤销相关业务许可、责令停业整顿等原因，可能导致投资者的本金损失或原始本金损失；</w:t>
      </w:r>
    </w:p>
    <w:p w14:paraId="25D8B5ED">
      <w:pPr>
        <w:pStyle w:val="7"/>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如果相关法律、法规、规章、政策及证券交易所或者中国结算的业务规则发生变化，我公司会依照上述变化变更协议、风险揭示书相关条款，由此可能会影响投资者的投资判断。</w:t>
      </w:r>
    </w:p>
    <w:p w14:paraId="451A1A90">
      <w:pPr>
        <w:pStyle w:val="7"/>
        <w:keepNext w:val="0"/>
        <w:keepLines w:val="0"/>
        <w:pageBreakBefore w:val="0"/>
        <w:widowControl w:val="0"/>
        <w:kinsoku/>
        <w:wordWrap/>
        <w:overflowPunct/>
        <w:topLinePunct w:val="0"/>
        <w:autoSpaceDE/>
        <w:autoSpaceDN/>
        <w:bidi w:val="0"/>
        <w:spacing w:line="360" w:lineRule="auto"/>
        <w:ind w:left="210" w:leftChars="100" w:firstLine="211" w:firstLineChars="10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特别提示：</w:t>
      </w:r>
    </w:p>
    <w:p w14:paraId="2CE4E9E1">
      <w:pPr>
        <w:pStyle w:val="7"/>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请确保您所申请开立的账户用途合法，不得利用证券经营机构通道进行非法代客交易，不得存在将账户提供给他人使用或者用于非法代客交易等情形。</w:t>
      </w:r>
    </w:p>
    <w:p w14:paraId="531E76DE">
      <w:pPr>
        <w:adjustRightInd w:val="0"/>
        <w:snapToGrid w:val="0"/>
        <w:spacing w:line="360" w:lineRule="auto"/>
        <w:ind w:firstLine="422" w:firstLineChars="200"/>
        <w:rPr>
          <w:b/>
          <w:bCs w:val="0"/>
        </w:rPr>
      </w:pPr>
      <w:r>
        <w:rPr>
          <w:rFonts w:hint="eastAsia" w:ascii="宋体" w:hAnsi="宋体" w:eastAsia="宋体" w:cs="宋体"/>
          <w:b/>
          <w:bCs w:val="0"/>
          <w:color w:val="auto"/>
          <w:sz w:val="21"/>
          <w:szCs w:val="21"/>
        </w:rPr>
        <w:t>本</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风险揭示书</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rPr>
        <w:t>的揭示事项仅为列举事项，</w:t>
      </w:r>
      <w:r>
        <w:rPr>
          <w:rFonts w:hint="eastAsia"/>
          <w:b/>
          <w:bCs w:val="0"/>
        </w:rPr>
        <w:t>未能详尽列明不动产基金的所有投资风险。投资者在参与不动产基金相关业务前，应当认真阅读基金合同、招募说明书等法律文件，熟悉不动产基金相关法律、行政法规、部门规章、规范性文件和交易所业务规则，自主判断基金投资价值，自主做出投资决策，自行承担投资风险。</w:t>
      </w:r>
    </w:p>
    <w:p w14:paraId="7589B15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color w:val="auto"/>
          <w:kern w:val="0"/>
          <w:sz w:val="21"/>
          <w:szCs w:val="21"/>
        </w:rPr>
      </w:pPr>
    </w:p>
    <w:p w14:paraId="2080614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投资者在本《风险揭示书》上签字，即表明投资者已经理解并愿意自行承担参与</w:t>
      </w:r>
      <w:r>
        <w:rPr>
          <w:rFonts w:hint="eastAsia" w:ascii="宋体" w:hAnsi="宋体" w:cs="宋体"/>
          <w:b/>
          <w:color w:val="auto"/>
          <w:sz w:val="21"/>
          <w:szCs w:val="21"/>
          <w:lang w:val="en-US" w:eastAsia="zh-CN"/>
        </w:rPr>
        <w:t>不动产</w:t>
      </w:r>
      <w:r>
        <w:rPr>
          <w:rFonts w:hint="eastAsia" w:ascii="宋体" w:hAnsi="宋体" w:eastAsia="宋体" w:cs="宋体"/>
          <w:b/>
          <w:color w:val="auto"/>
          <w:sz w:val="21"/>
          <w:szCs w:val="21"/>
        </w:rPr>
        <w:t>基金相关业务的风险和损失。</w:t>
      </w:r>
    </w:p>
    <w:p w14:paraId="7B45E89A">
      <w:pPr>
        <w:adjustRightInd w:val="0"/>
        <w:snapToGrid w:val="0"/>
        <w:spacing w:line="400" w:lineRule="exact"/>
        <w:ind w:firstLine="420" w:firstLineChars="200"/>
        <w:jc w:val="left"/>
        <w:rPr>
          <w:rFonts w:hint="eastAsia" w:ascii="宋体" w:hAnsi="宋体" w:eastAsia="宋体" w:cs="宋体"/>
          <w:b w:val="0"/>
          <w:bCs w:val="0"/>
          <w:color w:val="auto"/>
          <w:sz w:val="21"/>
          <w:szCs w:val="21"/>
        </w:rPr>
      </w:pPr>
    </w:p>
    <w:p w14:paraId="1CD624F5">
      <w:pPr>
        <w:adjustRightInd w:val="0"/>
        <w:snapToGrid w:val="0"/>
        <w:spacing w:before="0" w:beforeLines="-2147483648" w:line="400" w:lineRule="exact"/>
        <w:ind w:firstLine="422" w:firstLineChars="200"/>
        <w:jc w:val="left"/>
        <w:rPr>
          <w:rFonts w:hint="eastAsia" w:ascii="宋体" w:hAnsi="宋体" w:eastAsia="宋体" w:cs="宋体"/>
          <w:b/>
          <w:bCs/>
          <w:sz w:val="21"/>
          <w:szCs w:val="21"/>
        </w:rPr>
      </w:pPr>
    </w:p>
    <w:p w14:paraId="5C0EFE4F">
      <w:pPr>
        <w:adjustRightInd w:val="0"/>
        <w:snapToGrid w:val="0"/>
        <w:spacing w:before="0" w:beforeLines="-2147483648" w:line="400" w:lineRule="exact"/>
        <w:ind w:right="0" w:firstLine="0" w:firstLineChars="0"/>
        <w:jc w:val="left"/>
        <w:rPr>
          <w:rFonts w:hint="eastAsia" w:ascii="宋体" w:hAnsi="宋体" w:eastAsia="宋体" w:cs="宋体"/>
          <w:b/>
          <w:bCs/>
          <w:sz w:val="21"/>
          <w:szCs w:val="21"/>
        </w:rPr>
      </w:pPr>
      <w:r>
        <w:rPr>
          <w:rFonts w:hint="eastAsia" w:ascii="宋体" w:hAnsi="宋体" w:eastAsia="宋体" w:cs="宋体"/>
          <w:b/>
          <w:bCs/>
          <w:sz w:val="21"/>
          <w:szCs w:val="21"/>
        </w:rPr>
        <w:t>投资者：</w:t>
      </w:r>
    </w:p>
    <w:p w14:paraId="4167C933">
      <w:pPr>
        <w:adjustRightInd w:val="0"/>
        <w:snapToGrid w:val="0"/>
        <w:spacing w:before="0" w:beforeLines="-2147483648" w:line="400" w:lineRule="exact"/>
        <w:ind w:right="0" w:firstLine="0" w:firstLineChars="0"/>
        <w:jc w:val="left"/>
        <w:rPr>
          <w:rFonts w:hint="eastAsia" w:ascii="宋体" w:hAnsi="宋体" w:eastAsia="宋体" w:cs="宋体"/>
          <w:b w:val="0"/>
          <w:sz w:val="21"/>
          <w:szCs w:val="21"/>
        </w:rPr>
      </w:pPr>
      <w:r>
        <w:rPr>
          <w:rFonts w:hint="eastAsia" w:ascii="宋体" w:hAnsi="宋体" w:eastAsia="宋体" w:cs="宋体"/>
          <w:b/>
          <w:bCs/>
          <w:sz w:val="21"/>
          <w:szCs w:val="21"/>
        </w:rPr>
        <w:t>签署日期：</w:t>
      </w:r>
    </w:p>
    <w:p w14:paraId="463D052B">
      <w:pPr>
        <w:adjustRightInd w:val="0"/>
        <w:snapToGrid w:val="0"/>
        <w:spacing w:line="400" w:lineRule="exact"/>
        <w:ind w:firstLine="420" w:firstLineChars="200"/>
        <w:rPr>
          <w:rFonts w:hint="eastAsia" w:ascii="宋体" w:hAnsi="宋体" w:cs="宋体"/>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974580"/>
      <w:docPartObj>
        <w:docPartGallery w:val="autotext"/>
      </w:docPartObj>
    </w:sdtPr>
    <w:sdtContent>
      <w:p w14:paraId="1CA5C7E1">
        <w:pPr>
          <w:pStyle w:val="2"/>
          <w:jc w:val="center"/>
        </w:pPr>
        <w:r>
          <w:rPr>
            <w:lang w:val="zh-CN"/>
          </w:rPr>
          <w:fldChar w:fldCharType="begin"/>
        </w:r>
        <w:r>
          <w:rPr>
            <w:lang w:val="zh-CN"/>
          </w:rPr>
          <w:instrText xml:space="preserve"> PAGE   \* MERGEFORMAT </w:instrText>
        </w:r>
        <w:r>
          <w:rPr>
            <w:lang w:val="zh-CN"/>
          </w:rPr>
          <w:fldChar w:fldCharType="separate"/>
        </w:r>
        <w:r>
          <w:rPr>
            <w:lang w:val="zh-CN"/>
          </w:rPr>
          <w:t>3</w:t>
        </w:r>
        <w:r>
          <w:rPr>
            <w:lang w:val="zh-CN"/>
          </w:rPr>
          <w:fldChar w:fldCharType="end"/>
        </w:r>
      </w:p>
    </w:sdtContent>
  </w:sdt>
  <w:p w14:paraId="5232584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938C">
    <w:pPr>
      <w:pStyle w:val="3"/>
      <w:jc w:val="both"/>
      <w:rPr>
        <w:rFonts w:hint="default" w:eastAsia="宋体"/>
        <w:lang w:val="en-US" w:eastAsia="zh-CN"/>
      </w:rPr>
    </w:pPr>
    <w:r>
      <w:rPr>
        <w:rFonts w:hint="eastAsia"/>
        <w:lang w:val="en-US" w:eastAsia="zh-CN"/>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MTVhMDMwYWZmMTg2MDhkZGJlZmZjZTAwZDkyM2IifQ=="/>
    <w:docVar w:name="KSO_WPS_MARK_KEY" w:val="67ac0ab4-73e3-4b2b-8d59-3072b9c7d584"/>
  </w:docVars>
  <w:rsids>
    <w:rsidRoot w:val="00AB19D9"/>
    <w:rsid w:val="001A43C1"/>
    <w:rsid w:val="002822B8"/>
    <w:rsid w:val="00390950"/>
    <w:rsid w:val="00455949"/>
    <w:rsid w:val="004F514E"/>
    <w:rsid w:val="007373B0"/>
    <w:rsid w:val="00823794"/>
    <w:rsid w:val="0087451A"/>
    <w:rsid w:val="00A7571F"/>
    <w:rsid w:val="00AB19D9"/>
    <w:rsid w:val="00B03E70"/>
    <w:rsid w:val="00B908B7"/>
    <w:rsid w:val="00DE721A"/>
    <w:rsid w:val="00EC160F"/>
    <w:rsid w:val="00F643BA"/>
    <w:rsid w:val="00FB1439"/>
    <w:rsid w:val="0335324C"/>
    <w:rsid w:val="133264FA"/>
    <w:rsid w:val="1D5554D3"/>
    <w:rsid w:val="285A5DBD"/>
    <w:rsid w:val="30E44C01"/>
    <w:rsid w:val="3C897F41"/>
    <w:rsid w:val="3E8B5ACD"/>
    <w:rsid w:val="452242C7"/>
    <w:rsid w:val="508C2107"/>
    <w:rsid w:val="552D6ACA"/>
    <w:rsid w:val="59255E0B"/>
    <w:rsid w:val="615C6AED"/>
    <w:rsid w:val="6FA806B7"/>
    <w:rsid w:val="6FE00063"/>
    <w:rsid w:val="74D67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列出段落 Char"/>
    <w:link w:val="7"/>
    <w:qFormat/>
    <w:locked/>
    <w:uiPriority w:val="0"/>
    <w:rPr>
      <w:szCs w:val="24"/>
    </w:rPr>
  </w:style>
  <w:style w:type="paragraph" w:styleId="7">
    <w:name w:val="List Paragraph"/>
    <w:basedOn w:val="1"/>
    <w:link w:val="6"/>
    <w:qFormat/>
    <w:uiPriority w:val="0"/>
    <w:pPr>
      <w:ind w:firstLine="420" w:firstLineChars="200"/>
    </w:pPr>
    <w:rPr>
      <w:rFonts w:asciiTheme="minorHAnsi" w:hAnsiTheme="minorHAnsi" w:eastAsiaTheme="minorEastAsia" w:cstheme="minorBidi"/>
      <w:szCs w:val="24"/>
    </w:rPr>
  </w:style>
  <w:style w:type="character" w:customStyle="1" w:styleId="8">
    <w:name w:val="页眉 Char"/>
    <w:basedOn w:val="5"/>
    <w:link w:val="3"/>
    <w:semiHidden/>
    <w:qFormat/>
    <w:uiPriority w:val="99"/>
    <w:rPr>
      <w:rFonts w:ascii="Times New Roman" w:hAnsi="Times New Roman" w:eastAsia="宋体" w:cs="Times New Roman"/>
      <w:sz w:val="18"/>
      <w:szCs w:val="18"/>
    </w:rPr>
  </w:style>
  <w:style w:type="character" w:customStyle="1" w:styleId="9">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1328</Words>
  <Characters>1336</Characters>
  <Lines>9</Lines>
  <Paragraphs>2</Paragraphs>
  <TotalTime>0</TotalTime>
  <ScaleCrop>false</ScaleCrop>
  <LinksUpToDate>false</LinksUpToDate>
  <CharactersWithSpaces>1336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2021-05-18T05:19:00Z</dcterms:created>
  <dc:creator>王晓晨(拟稿)</dc:creator>
  <cp:lastModifiedBy>杨贺</cp:lastModifiedBy>
  <dcterms:modified xsi:type="dcterms:W3CDTF">2026-01-15T09:33:32Z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C75D286CEDB141C5B02B6BBB28201AEE</vt:lpwstr>
  </property>
  <property fmtid="{D5CDD505-2E9C-101B-9397-08002B2CF9AE}" pid="4" name="KSOTemplateDocerSaveRecord">
    <vt:lpwstr>eyJoZGlkIjoiNTY4MmVmNmUxZGY5YjQ5YzdlZjM0ZGVhNjM5ZDQxMWIiLCJ1c2VySWQiOiIxNTg1OTk0MDYyIn0=</vt:lpwstr>
  </property>
</Properties>
</file>