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16F95">
      <w:pPr>
        <w:widowControl/>
        <w:adjustRightInd w:val="0"/>
        <w:spacing w:before="156" w:beforeLines="50" w:after="156" w:afterLines="50" w:line="380" w:lineRule="exact"/>
        <w:jc w:val="center"/>
        <w:rPr>
          <w:rFonts w:ascii="宋体" w:hAnsi="宋体"/>
          <w:b/>
          <w:sz w:val="32"/>
          <w:szCs w:val="32"/>
        </w:rPr>
      </w:pPr>
      <w:bookmarkStart w:id="0" w:name="_GoBack"/>
      <w:r>
        <w:rPr>
          <w:rFonts w:hint="eastAsia" w:ascii="宋体" w:hAnsi="宋体"/>
          <w:b/>
          <w:sz w:val="32"/>
          <w:szCs w:val="32"/>
        </w:rPr>
        <w:t>东北证券股份有限公司创业板市场投资风险揭示书</w:t>
      </w:r>
    </w:p>
    <w:bookmarkEnd w:id="0"/>
    <w:p w14:paraId="2B84ED60">
      <w:pPr>
        <w:widowControl/>
        <w:adjustRightInd w:val="0"/>
        <w:spacing w:line="380" w:lineRule="exact"/>
        <w:jc w:val="left"/>
        <w:rPr>
          <w:rFonts w:ascii="宋体" w:hAnsi="宋体"/>
          <w:b/>
          <w:kern w:val="0"/>
          <w:sz w:val="21"/>
          <w:szCs w:val="21"/>
        </w:rPr>
      </w:pPr>
      <w:r>
        <w:rPr>
          <w:rFonts w:hint="eastAsia" w:ascii="宋体" w:hAnsi="宋体"/>
          <w:b/>
          <w:kern w:val="0"/>
          <w:sz w:val="21"/>
          <w:szCs w:val="21"/>
        </w:rPr>
        <w:t>尊敬的投资者：</w:t>
      </w:r>
    </w:p>
    <w:p w14:paraId="49D4D8AD">
      <w:pPr>
        <w:widowControl/>
        <w:adjustRightInd w:val="0"/>
        <w:spacing w:line="380" w:lineRule="exact"/>
        <w:ind w:firstLine="420" w:firstLineChars="200"/>
        <w:jc w:val="left"/>
        <w:rPr>
          <w:rFonts w:ascii="宋体" w:hAnsi="宋体"/>
          <w:kern w:val="0"/>
          <w:sz w:val="21"/>
          <w:szCs w:val="21"/>
        </w:rPr>
      </w:pPr>
      <w:r>
        <w:rPr>
          <w:rFonts w:hint="eastAsia" w:ascii="宋体" w:hAnsi="宋体"/>
          <w:sz w:val="21"/>
          <w:szCs w:val="21"/>
        </w:rPr>
        <w:t>与主板市场相比，创业板市场有其特有的风险，</w:t>
      </w:r>
      <w:r>
        <w:rPr>
          <w:rFonts w:hint="eastAsia" w:ascii="宋体" w:hAnsi="宋体"/>
          <w:kern w:val="0"/>
          <w:sz w:val="21"/>
          <w:szCs w:val="21"/>
        </w:rPr>
        <w:t>为了使您更好地了解创业板市场投资的基本知识和相关风险，根据有关法律、法规、规章和规则的规定，本公司特向您进行如下风险揭示，请认真阅读并签署。</w:t>
      </w:r>
    </w:p>
    <w:p w14:paraId="3EE83DFE">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一、投资者在参与创业板股票投资前，应当充分知悉创业板股票发行、上市、交易、持续监管等相关制度安排，深入了解相关上市公司基本面情况，并根据自身财务状况、风险承受能力等，审慎考虑是否申购、交易创业板股票。</w:t>
      </w:r>
    </w:p>
    <w:p w14:paraId="7DDDC717">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二、创业板上市公司往往涉足新技术、新产业、新业态、新模式，具有初期投入高、技术迭代快、业绩波动大等特点，公司上市后的持续创新能力、盈利能力、发展潜力和抗风险能力等具有不确定性。投资者应当关注相关风险。</w:t>
      </w:r>
    </w:p>
    <w:p w14:paraId="27B4C6DF">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三、创业板上市公司可能存在首次公开发行前最近3个会计年度未能连续盈利、公开发行并上市时尚未盈利、有累计未弥补亏损等情形，以及上市后盈利状况无法改善、无法进行利润分配等情形。投资者应当充分关注并理性看待相关风险，审慎作出投资决策。</w:t>
      </w:r>
    </w:p>
    <w:p w14:paraId="76BEB5D4">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四、创业板新股发行价格、规模、节奏等坚持市场化导向，可能采用直接定价和询价定价方式发行。采用询价定价方式的，询价对象限定在证券公司等专业机构投资者，而个人投资者无法直接参与发行定价。同时，部分创业板公司发行定价可能不适用传统估值方法，上市后可能存在股价波动风险。</w:t>
      </w:r>
    </w:p>
    <w:p w14:paraId="430E6154">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五、初步询价结束后，创业板发行人预计发行后总市值不满足其在招股说明书中明确选择的市值与财务指标上市标准的，将按规定中止发行。</w:t>
      </w:r>
    </w:p>
    <w:p w14:paraId="61380B52">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六、根据首次公开发行创业板股票发行后总股本差异、是否为未盈利企业，网上初始发行比例可能有所差别；根据网上投资者有效申购倍数差异，可能存在不同的网下向网上回拨比例。创业板股票网上发行比例、网下向网上回拨比例与深交所主板股票存在差异，投资者应当关注。</w:t>
      </w:r>
    </w:p>
    <w:p w14:paraId="653D7F8B">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七、首次公开发行股票时，发行人和主承销商可以采用超额配售选择权，即存在发行人增发股票的可能性。</w:t>
      </w:r>
    </w:p>
    <w:p w14:paraId="4D5B1A43">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八、上市时未盈利的创业板公司，在实现盈利前按照规定应当在年度报告中披露尚未盈利的原因以及对公司的影响，在年度报告首页的显著位置提示公司尚未盈利的风险。创业板公司出现对其技术创新与研发能力、成长前景以及盈利改善有重大影响的风险或者负面事项的，按照规定应当及时披露具体情况及其影响。投资者应当及时关注公司披露的年度报告及其他公告，持续了解相关风险。</w:t>
      </w:r>
    </w:p>
    <w:p w14:paraId="50112B46">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九、创业板上市公司可能主动终止上市，也可能因触及退市情形被强制终止上市。主动终止上市以及因触及交易类强制退市情形被终止上市的，不进入退市整理期，直接予以摘牌；因触及财务类、规范类或者重大违法类强制退市情形被终止上市的，进入退市整理期交易15个交易日后予以摘牌。投资者应当及时了解相关信息和规定，密切关注退市风险。</w:t>
      </w:r>
    </w:p>
    <w:p w14:paraId="1DD4BEBD">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十、创业板允许上市公司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14:paraId="6619AEB1">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十一、出现《深圳证券交易所创业板股票上市规则》以及上市公司章程规定的情形时，特别表决权股份将按1:1的比例转换为普通股份。股份转换自相关情形发生时即生效，并可能与相关股份转换登记时点存在差异。投资者需及时关注上市公司相关公告，了解特别表决权股份变动事宜。</w:t>
      </w:r>
    </w:p>
    <w:p w14:paraId="0C3FBE8D">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十二、创业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14:paraId="70CE91BD">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十三、创业板股票的价格涨跌幅限制比例为20%，但在首次公开发行上市后的前五个交易日、重新上市首日、进入退市整理期的首日以及深交所认定的其他情形下不实行涨跌幅限制，投资者应当关注可能发生的股价波动风险。</w:t>
      </w:r>
    </w:p>
    <w:p w14:paraId="5E90A235">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十四、创业板无价格涨跌幅限制股票竞价交易盘中价格较当日开盘价格首次上涨或者下跌达到或者超过30%、60%，以及出现证监会或者深交所认定的其他情形的，实施盘中临时停牌机制，单次临时停牌时间为10分钟，停牌时间跨越14:57的，于当日14:57复牌并对已接受的申报进行复牌集合竞价，再进行收盘集合竞价。</w:t>
      </w:r>
    </w:p>
    <w:p w14:paraId="0ACD540A">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十五、《深圳证券交易所交易规则（2026年修订）》施行后，创业板股票交易可以实行做市商机制，请投资者关注相关事项。</w:t>
      </w:r>
    </w:p>
    <w:p w14:paraId="47409551">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十六、投资者应当关注不同板块单笔申报数量上限差异，同时应当关注股票集合竞价阶段及连续竞价阶段有效申报价格范围的相关要求，以免影响申报。投资者应当关注，申报时超过涨跌幅限制价格或者有效申报价格范围的申报为无效申报。</w:t>
      </w:r>
    </w:p>
    <w:p w14:paraId="79BA07D0">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十七、投资者需关注创业板交易方式包括竞价交易、盘后固定价格交易以及大宗交易，不同交易方式的交易时间、申报要求、成交原则等存在差异。《深圳证券交易所交易规则（2026年修订）》施行后，创业板股票协议大宗交易的成交确认时间与深交所主板股票存在差异，投资者应当关注。</w:t>
      </w:r>
    </w:p>
    <w:p w14:paraId="29D1C8CF">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十八、注册制下首次公开发行的股票，上市首日即可作为融资融券标的，我公司有权根据交易所规则及自身判断决定是否将上市首日证券纳入公司融资融券标的证券范围，投资者应当关注相关风险。</w:t>
      </w:r>
    </w:p>
    <w:p w14:paraId="016A4A6B">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十九、创业板股票的交易公开信息披露指标及异常波动情形、严重异常波动情形披露指标与深交所主板股票规定不同，投资者应当关注相关风险。</w:t>
      </w:r>
    </w:p>
    <w:p w14:paraId="1EFAB997">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二十、符合相关规定的红筹企业可以在创业板上市。红筹企业在境外注册，可能采用协议控制架构，在上市标准、信息披露、分红派息、退市标准等方面可能与境内注册的上市公司存在差异。红筹企业注册地、境外上市地等地法律法规对当地投资者提供的保护，可能与境内法律为境内投资者提供的保护存在差异。</w:t>
      </w:r>
    </w:p>
    <w:p w14:paraId="43269079">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二十一、红筹企业可以发行股票或者存托凭证并在创业板上市。存托凭证由存托人签发、以境外证券为基础在中国境内发行，代表境外基础证券权益。红筹企业存托凭证持有人实际享有的权益与境外基础证券持有人的权益虽然基本相当,但并不能等同于直接持有境外基础证券。投资者应当充分知悉存托协议和相关规则的具体内容，了解并接受在交易和持有红筹企业股票或者存托凭证过程中可能存在的风险。</w:t>
      </w:r>
    </w:p>
    <w:p w14:paraId="758CF1DC">
      <w:pPr>
        <w:spacing w:line="380" w:lineRule="exact"/>
        <w:ind w:firstLine="420" w:firstLineChars="200"/>
        <w:jc w:val="left"/>
        <w:rPr>
          <w:rFonts w:hint="eastAsia" w:ascii="宋体" w:hAnsi="宋体"/>
          <w:kern w:val="0"/>
          <w:sz w:val="21"/>
          <w:szCs w:val="21"/>
          <w:lang w:val="en-US" w:eastAsia="zh-CN"/>
        </w:rPr>
      </w:pPr>
      <w:r>
        <w:rPr>
          <w:rFonts w:hint="eastAsia" w:ascii="宋体" w:hAnsi="宋体"/>
          <w:kern w:val="0"/>
          <w:sz w:val="21"/>
          <w:szCs w:val="21"/>
          <w:lang w:val="en-US" w:eastAsia="zh-CN"/>
        </w:rPr>
        <w:t>二十二、创业板适用的相关法律、行政法规、部门规章、规范性文件（以下统称法律法规）和深交所相关业务规则，可能根据市场情况进行修改，或者制定新的法律法规和业务规则，投资者应当及时关注和了解。</w:t>
      </w:r>
    </w:p>
    <w:p w14:paraId="26DE6D29">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lang w:val="en-US" w:eastAsia="zh-CN"/>
        </w:rPr>
        <w:t>二十三</w:t>
      </w:r>
      <w:r>
        <w:rPr>
          <w:rFonts w:hint="eastAsia" w:ascii="宋体" w:hAnsi="宋体"/>
          <w:kern w:val="0"/>
          <w:sz w:val="21"/>
          <w:szCs w:val="21"/>
        </w:rPr>
        <w:t>、若您开通融资融券信用账户的创业板交易权限，在创业板股票融资融券交易中，除创业板特有风险外，还将面临融资融券交易的特有风险，请您在参与创业板融资融券交易前，充分阅读了解相关业务规则、《融资融券业务合同》及《融资融券交易风险揭示书》的条款，对融资融券交易特有的业务规则、风险必须充分的了解和掌握，并确信自己已做好足够的风险评估与财务安排，避免因参与融资融券交易而遭受难以承受的损失。</w:t>
      </w:r>
    </w:p>
    <w:p w14:paraId="66735419">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lang w:eastAsia="zh-CN"/>
        </w:rPr>
        <w:t>（</w:t>
      </w:r>
      <w:r>
        <w:rPr>
          <w:rFonts w:hint="eastAsia" w:ascii="宋体" w:hAnsi="宋体"/>
          <w:kern w:val="0"/>
          <w:sz w:val="21"/>
          <w:szCs w:val="21"/>
          <w:lang w:val="en-US" w:eastAsia="zh-CN"/>
        </w:rPr>
        <w:t>一</w:t>
      </w:r>
      <w:r>
        <w:rPr>
          <w:rFonts w:hint="eastAsia" w:ascii="宋体" w:hAnsi="宋体"/>
          <w:kern w:val="0"/>
          <w:sz w:val="21"/>
          <w:szCs w:val="21"/>
          <w:lang w:eastAsia="zh-CN"/>
        </w:rPr>
        <w:t>）</w:t>
      </w:r>
      <w:r>
        <w:rPr>
          <w:rFonts w:hint="eastAsia" w:ascii="宋体" w:hAnsi="宋体"/>
          <w:kern w:val="0"/>
          <w:sz w:val="21"/>
          <w:szCs w:val="21"/>
        </w:rPr>
        <w:t>融资融券交易除具有普通证券交易所具有的政策风险、市场风险、违约风险、系统风险等风险的同时，因其特有的杠杆作用，还具有投资风险放大等特有风险；因不能按照约定期限清偿债务或未及时足额追加担保物等原因被我公司强制平仓的风险；利率或费率变动导致融资融券成本增加的风险；因受信用账户证券集中度限制带来的无法进行单一或某类证券的担保物提交、融资买入、担保品买入等委托或采取其它风险控制措施的交易风险；标的证券范围调整、暂停交易或终止上市可能被我公司要求提前了结融资融券交易而使您遭受经济损失的风险；当出现被司法机关采取财产保全或强制执行措施或者出现丧失民事行为能力、破产、解散或证券公司被暂停或取消融资融券业务资格等情况时，您将面临被我公司提前了结融资融券交易的风险，可能会给您造成经济损失。</w:t>
      </w:r>
    </w:p>
    <w:p w14:paraId="59619636">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lang w:eastAsia="zh-CN"/>
        </w:rPr>
        <w:t>（</w:t>
      </w:r>
      <w:r>
        <w:rPr>
          <w:rFonts w:hint="eastAsia" w:ascii="宋体" w:hAnsi="宋体"/>
          <w:kern w:val="0"/>
          <w:sz w:val="21"/>
          <w:szCs w:val="21"/>
          <w:lang w:val="en-US" w:eastAsia="zh-CN"/>
        </w:rPr>
        <w:t>二</w:t>
      </w:r>
      <w:r>
        <w:rPr>
          <w:rFonts w:hint="eastAsia" w:ascii="宋体" w:hAnsi="宋体"/>
          <w:kern w:val="0"/>
          <w:sz w:val="21"/>
          <w:szCs w:val="21"/>
          <w:lang w:eastAsia="zh-CN"/>
        </w:rPr>
        <w:t>）</w:t>
      </w:r>
      <w:r>
        <w:rPr>
          <w:rFonts w:hint="eastAsia" w:ascii="宋体" w:hAnsi="宋体"/>
          <w:kern w:val="0"/>
          <w:sz w:val="21"/>
          <w:szCs w:val="21"/>
        </w:rPr>
        <w:t>投资者在信用账户内交易创业板股票时，本公司会根据市场情况、业务风险防范措施、自身商业判断来设定或调整如下事项：</w:t>
      </w:r>
    </w:p>
    <w:p w14:paraId="0A556C96">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lang w:val="en-US" w:eastAsia="zh-CN"/>
        </w:rPr>
        <w:t>1.</w:t>
      </w:r>
      <w:r>
        <w:rPr>
          <w:rFonts w:hint="eastAsia" w:ascii="宋体" w:hAnsi="宋体"/>
          <w:kern w:val="0"/>
          <w:sz w:val="21"/>
          <w:szCs w:val="21"/>
        </w:rPr>
        <w:t>信用账户的警戒线、平仓线、追加担保物期限；</w:t>
      </w:r>
    </w:p>
    <w:p w14:paraId="725AABD0">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lang w:val="en-US" w:eastAsia="zh-CN"/>
        </w:rPr>
        <w:t>2.</w:t>
      </w:r>
      <w:r>
        <w:rPr>
          <w:rFonts w:hint="eastAsia" w:ascii="宋体" w:hAnsi="宋体"/>
          <w:kern w:val="0"/>
          <w:sz w:val="21"/>
          <w:szCs w:val="21"/>
        </w:rPr>
        <w:t>信用账户担保物提交、提取规则；</w:t>
      </w:r>
    </w:p>
    <w:p w14:paraId="13B4DF1E">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lang w:val="en-US" w:eastAsia="zh-CN"/>
        </w:rPr>
        <w:t>3.</w:t>
      </w:r>
      <w:r>
        <w:rPr>
          <w:rFonts w:hint="eastAsia" w:ascii="宋体" w:hAnsi="宋体"/>
          <w:kern w:val="0"/>
          <w:sz w:val="21"/>
          <w:szCs w:val="21"/>
        </w:rPr>
        <w:t>创业板标的证券范围及保证金比例、可充抵保证金证券范围及折算率；</w:t>
      </w:r>
    </w:p>
    <w:p w14:paraId="7C6E48E4">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lang w:val="en-US" w:eastAsia="zh-CN"/>
        </w:rPr>
        <w:t>4.</w:t>
      </w:r>
      <w:r>
        <w:rPr>
          <w:rFonts w:hint="eastAsia" w:ascii="宋体" w:hAnsi="宋体"/>
          <w:kern w:val="0"/>
          <w:sz w:val="21"/>
          <w:szCs w:val="21"/>
        </w:rPr>
        <w:t>创业板证券持仓集中度、停牌证券市值、融券权益方案等；</w:t>
      </w:r>
    </w:p>
    <w:p w14:paraId="34E20B85">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lang w:val="en-US" w:eastAsia="zh-CN"/>
        </w:rPr>
        <w:t>5.</w:t>
      </w:r>
      <w:r>
        <w:rPr>
          <w:rFonts w:hint="eastAsia" w:ascii="宋体" w:hAnsi="宋体"/>
          <w:kern w:val="0"/>
          <w:sz w:val="21"/>
          <w:szCs w:val="21"/>
        </w:rPr>
        <w:t>创业板证券合约展期规定。</w:t>
      </w:r>
    </w:p>
    <w:p w14:paraId="2C1EEA89">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rPr>
        <w:t>因上述事项的设定或调整，投资者可能面临无法进行担保物买入、融资买入、融券卖出创业板股票，无法进行合约展期、提取或转入担保物，面临被要求追加担保物甚至于被强制平仓等风险，可能会扩大投资者的投资损失，影响投资者的交易机会或投资可得利益。公司采取上述措施可能造成的损失由您自行承担。</w:t>
      </w:r>
    </w:p>
    <w:p w14:paraId="134E730F">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lang w:eastAsia="zh-CN"/>
        </w:rPr>
        <w:t>（</w:t>
      </w:r>
      <w:r>
        <w:rPr>
          <w:rFonts w:hint="eastAsia" w:ascii="宋体" w:hAnsi="宋体"/>
          <w:kern w:val="0"/>
          <w:sz w:val="21"/>
          <w:szCs w:val="21"/>
          <w:lang w:val="en-US" w:eastAsia="zh-CN"/>
        </w:rPr>
        <w:t>三</w:t>
      </w:r>
      <w:r>
        <w:rPr>
          <w:rFonts w:hint="eastAsia" w:ascii="宋体" w:hAnsi="宋体"/>
          <w:kern w:val="0"/>
          <w:sz w:val="21"/>
          <w:szCs w:val="21"/>
          <w:lang w:eastAsia="zh-CN"/>
        </w:rPr>
        <w:t>）</w:t>
      </w:r>
      <w:r>
        <w:rPr>
          <w:rFonts w:hint="eastAsia" w:ascii="宋体" w:hAnsi="宋体"/>
          <w:kern w:val="0"/>
          <w:sz w:val="21"/>
          <w:szCs w:val="21"/>
        </w:rPr>
        <w:t>因注册制下创业板股票的交易机制与其他板块股票可能存在差异，股价波动区间通常大于其他板块股票，投资者信用账户的维持担保比例更易受影响而跌破警戒线、平仓线，进而触发信用账户的追加担保物机制，甚至面临被证券公司强制平仓的风险；且由于注册制下创业板股票涨跌幅限制等规则与其他板块股票可能存在差异，证券公司强制平仓时无法确保在具体交易时机、顺序、价格、数量等方面作出最佳选择，可能与市场平均交易价格存在较大幅度偏离，进而扩大应由投资者自行承担的投资损失、风险。</w:t>
      </w:r>
    </w:p>
    <w:p w14:paraId="08F2331E">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lang w:val="en-US" w:eastAsia="zh-CN"/>
        </w:rPr>
        <w:t>二十四、</w:t>
      </w:r>
      <w:r>
        <w:rPr>
          <w:rFonts w:hint="eastAsia" w:ascii="宋体" w:hAnsi="宋体"/>
          <w:kern w:val="0"/>
          <w:sz w:val="21"/>
          <w:szCs w:val="21"/>
        </w:rPr>
        <w:t>投资者参与该项服务前，请充分了解该项服务可能存在的以下事项，包括但不限于：</w:t>
      </w:r>
    </w:p>
    <w:p w14:paraId="6AED6A36">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rPr>
        <w:t>（一）可能存在直接导致投资者本金亏损或者直接导致超过原始本金损失的事项；</w:t>
      </w:r>
    </w:p>
    <w:p w14:paraId="7B66067A">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rPr>
        <w:t>（二）我公司因停业、解散、撤销、破产，或者被中国证监会撤销相关业务许可、责令停业整顿等原因，可能导致投资者的本金损失或原始本金损失；</w:t>
      </w:r>
    </w:p>
    <w:p w14:paraId="38A788FA">
      <w:pPr>
        <w:spacing w:line="380" w:lineRule="exact"/>
        <w:ind w:firstLine="420" w:firstLineChars="200"/>
        <w:jc w:val="left"/>
        <w:rPr>
          <w:rFonts w:hint="eastAsia" w:ascii="宋体" w:hAnsi="宋体"/>
          <w:kern w:val="0"/>
          <w:sz w:val="21"/>
          <w:szCs w:val="21"/>
        </w:rPr>
      </w:pPr>
      <w:r>
        <w:rPr>
          <w:rFonts w:hint="eastAsia" w:ascii="宋体" w:hAnsi="宋体"/>
          <w:kern w:val="0"/>
          <w:sz w:val="21"/>
          <w:szCs w:val="21"/>
        </w:rPr>
        <w:t>（三）如果相关法律、法规、规章、政策及证券交易所或者中国结算的业务规则发生变化，我公司会依照上述变化变更协议、风险揭示书相关条款，由此可能会影响投资者的投资判断。</w:t>
      </w:r>
    </w:p>
    <w:p w14:paraId="42FCF1F3">
      <w:pPr>
        <w:spacing w:line="380" w:lineRule="exact"/>
        <w:ind w:firstLine="422" w:firstLineChars="200"/>
        <w:jc w:val="left"/>
        <w:rPr>
          <w:rFonts w:hint="default" w:ascii="宋体" w:hAnsi="宋体" w:eastAsia="宋体"/>
          <w:b/>
          <w:kern w:val="0"/>
          <w:sz w:val="21"/>
          <w:szCs w:val="21"/>
          <w:lang w:val="en-US" w:eastAsia="zh-CN"/>
        </w:rPr>
      </w:pPr>
      <w:r>
        <w:rPr>
          <w:rFonts w:hint="eastAsia" w:ascii="宋体" w:hAnsi="宋体"/>
          <w:b/>
          <w:kern w:val="0"/>
          <w:sz w:val="21"/>
          <w:szCs w:val="21"/>
          <w:lang w:val="en-US" w:eastAsia="zh-CN"/>
        </w:rPr>
        <w:t>特别提示：</w:t>
      </w:r>
    </w:p>
    <w:p w14:paraId="794B9FF3">
      <w:pPr>
        <w:spacing w:line="380" w:lineRule="exact"/>
        <w:ind w:firstLine="422" w:firstLineChars="200"/>
        <w:jc w:val="left"/>
        <w:rPr>
          <w:rFonts w:hint="eastAsia" w:ascii="宋体" w:hAnsi="宋体"/>
          <w:b/>
          <w:kern w:val="0"/>
          <w:sz w:val="21"/>
          <w:szCs w:val="21"/>
        </w:rPr>
      </w:pPr>
      <w:r>
        <w:rPr>
          <w:rFonts w:hint="eastAsia" w:ascii="宋体" w:hAnsi="宋体"/>
          <w:b/>
          <w:kern w:val="0"/>
          <w:sz w:val="21"/>
          <w:szCs w:val="21"/>
        </w:rPr>
        <w:t>请确保您所申请开立的账户用途合法，不得利用证券经营机构通道进行非法代客交易，不得存在将账户提供给他人使用或者用于非法代客交易等情形。</w:t>
      </w:r>
    </w:p>
    <w:p w14:paraId="52FE1CD7">
      <w:pPr>
        <w:spacing w:line="380" w:lineRule="exact"/>
        <w:ind w:firstLine="422" w:firstLineChars="200"/>
        <w:jc w:val="left"/>
        <w:rPr>
          <w:rFonts w:hint="eastAsia" w:ascii="宋体" w:hAnsi="宋体"/>
          <w:b/>
          <w:kern w:val="0"/>
          <w:sz w:val="21"/>
          <w:szCs w:val="21"/>
        </w:rPr>
      </w:pPr>
      <w:r>
        <w:rPr>
          <w:rFonts w:hint="eastAsia" w:ascii="宋体" w:hAnsi="宋体"/>
          <w:b/>
          <w:kern w:val="0"/>
          <w:sz w:val="21"/>
          <w:szCs w:val="21"/>
        </w:rPr>
        <w:t>本《风险揭示书》的揭示事项仅为列举性质，未能详尽列明创业板</w:t>
      </w:r>
      <w:r>
        <w:rPr>
          <w:rFonts w:hint="eastAsia" w:ascii="宋体" w:hAnsi="宋体"/>
          <w:b/>
          <w:kern w:val="0"/>
          <w:sz w:val="21"/>
          <w:szCs w:val="21"/>
          <w:lang w:val="en-US" w:eastAsia="zh-CN"/>
        </w:rPr>
        <w:t>股票投资</w:t>
      </w:r>
      <w:r>
        <w:rPr>
          <w:rFonts w:hint="eastAsia" w:ascii="宋体" w:hAnsi="宋体"/>
          <w:b/>
          <w:kern w:val="0"/>
          <w:sz w:val="21"/>
          <w:szCs w:val="21"/>
        </w:rPr>
        <w:t>的所有风险，</w:t>
      </w:r>
      <w:r>
        <w:rPr>
          <w:rFonts w:hint="eastAsia" w:ascii="宋体" w:hAnsi="宋体" w:eastAsia="宋体" w:cs="黑体"/>
          <w:b/>
          <w:bCs w:val="0"/>
          <w:color w:val="000000"/>
          <w:kern w:val="0"/>
          <w:sz w:val="21"/>
          <w:szCs w:val="21"/>
          <w:u w:val="none"/>
          <w:lang w:val="en-US" w:eastAsia="zh-CN"/>
        </w:rPr>
        <w:t>且未来有关法律法规和业务规则修订时可能不会要求投资者重新签署《风险揭示书》，</w:t>
      </w:r>
      <w:r>
        <w:rPr>
          <w:rFonts w:hint="eastAsia" w:ascii="宋体" w:hAnsi="宋体"/>
          <w:b/>
          <w:kern w:val="0"/>
          <w:sz w:val="21"/>
          <w:szCs w:val="21"/>
        </w:rPr>
        <w:t>投资者在参与</w:t>
      </w:r>
      <w:r>
        <w:rPr>
          <w:rFonts w:hint="eastAsia" w:ascii="宋体" w:hAnsi="宋体"/>
          <w:b/>
          <w:kern w:val="0"/>
          <w:sz w:val="21"/>
          <w:szCs w:val="21"/>
          <w:lang w:val="en-US" w:eastAsia="zh-CN"/>
        </w:rPr>
        <w:t>创业板股票投资</w:t>
      </w:r>
      <w:r>
        <w:rPr>
          <w:rFonts w:hint="eastAsia" w:ascii="宋体" w:hAnsi="宋体"/>
          <w:b/>
          <w:kern w:val="0"/>
          <w:sz w:val="21"/>
          <w:szCs w:val="21"/>
        </w:rPr>
        <w:t>前，应当认真阅读有关法律法规和交易所业务规则等相关规定，对其他可能存在的风险因素也应当有所了解和掌握，并确信自己已做好足够的风险评估与财务安排，避免因参与创业板</w:t>
      </w:r>
      <w:r>
        <w:rPr>
          <w:rFonts w:hint="eastAsia" w:ascii="宋体" w:hAnsi="宋体"/>
          <w:b/>
          <w:kern w:val="0"/>
          <w:sz w:val="21"/>
          <w:szCs w:val="21"/>
          <w:lang w:val="en-US" w:eastAsia="zh-CN"/>
        </w:rPr>
        <w:t>股票投资</w:t>
      </w:r>
      <w:r>
        <w:rPr>
          <w:rFonts w:hint="eastAsia" w:ascii="宋体" w:hAnsi="宋体"/>
          <w:b/>
          <w:kern w:val="0"/>
          <w:sz w:val="21"/>
          <w:szCs w:val="21"/>
        </w:rPr>
        <w:t>遭受难以承受的损失。</w:t>
      </w:r>
    </w:p>
    <w:p w14:paraId="20A934DE">
      <w:pPr>
        <w:spacing w:line="380" w:lineRule="exact"/>
        <w:ind w:firstLine="422" w:firstLineChars="200"/>
        <w:jc w:val="left"/>
        <w:rPr>
          <w:rFonts w:ascii="宋体" w:hAnsi="宋体"/>
          <w:b/>
          <w:kern w:val="0"/>
          <w:sz w:val="21"/>
          <w:szCs w:val="21"/>
        </w:rPr>
      </w:pPr>
      <w:r>
        <w:rPr>
          <w:rFonts w:hint="eastAsia" w:ascii="宋体" w:hAnsi="宋体"/>
          <w:b/>
          <w:kern w:val="0"/>
          <w:sz w:val="21"/>
          <w:szCs w:val="21"/>
        </w:rPr>
        <w:t>投资者在本《风险揭示书》上签字，即表明投资者已经理解并愿意自行承担参与创业板</w:t>
      </w:r>
      <w:r>
        <w:rPr>
          <w:rFonts w:hint="eastAsia" w:ascii="宋体" w:hAnsi="宋体"/>
          <w:b/>
          <w:kern w:val="0"/>
          <w:sz w:val="21"/>
          <w:szCs w:val="21"/>
          <w:lang w:val="en-US" w:eastAsia="zh-CN"/>
        </w:rPr>
        <w:t>股票投资</w:t>
      </w:r>
      <w:r>
        <w:rPr>
          <w:rFonts w:hint="eastAsia" w:ascii="宋体" w:hAnsi="宋体"/>
          <w:b/>
          <w:kern w:val="0"/>
          <w:sz w:val="21"/>
          <w:szCs w:val="21"/>
        </w:rPr>
        <w:t>的风险和损失。</w:t>
      </w:r>
    </w:p>
    <w:p w14:paraId="795B01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B69EE"/>
    <w:rsid w:val="442B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2026-04-25T09:42:00Z</dcterms:created>
  <dc:creator>杨贺</dc:creator>
  <cp:lastModifiedBy>杨贺</cp:lastModifiedBy>
  <dcterms:modified xsi:type="dcterms:W3CDTF">2026-04-25T09:42:55Z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F1DDB5D402D34B4CBE6A4D73EA10AB28_11</vt:lpwstr>
  </property>
  <property fmtid="{D5CDD505-2E9C-101B-9397-08002B2CF9AE}" pid="4" name="KSOTemplateDocerSaveRecord">
    <vt:lpwstr>eyJoZGlkIjoiNjFmMDFkMDljOWIwZmZlODE4NTI2NDQzYzc3OWYxNWUiLCJ1c2VySWQiOiIxNTg1OTk0MDYyIn0=</vt:lpwstr>
  </property>
</Properties>
</file>