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09DCD">
      <w:pPr>
        <w:pStyle w:val="9"/>
        <w:keepNext w:val="0"/>
        <w:keepLines w:val="0"/>
        <w:pageBreakBefore w:val="0"/>
        <w:widowControl w:val="0"/>
        <w:kinsoku/>
        <w:wordWrap/>
        <w:overflowPunct/>
        <w:topLinePunct w:val="0"/>
        <w:autoSpaceDE w:val="0"/>
        <w:autoSpaceDN w:val="0"/>
        <w:bidi w:val="0"/>
        <w:adjustRightInd w:val="0"/>
        <w:snapToGrid/>
        <w:spacing w:before="0" w:after="0" w:line="360" w:lineRule="exact"/>
        <w:jc w:val="center"/>
        <w:textAlignment w:val="auto"/>
        <w:rPr>
          <w:rFonts w:ascii="宋体" w:hAnsi="宋体" w:eastAsia="宋体" w:cs="宋体"/>
          <w:b/>
          <w:color w:val="000000"/>
          <w:sz w:val="28"/>
          <w:szCs w:val="28"/>
          <w:lang w:eastAsia="zh-CN"/>
        </w:rPr>
      </w:pPr>
      <w:r>
        <w:rPr>
          <w:rFonts w:hint="eastAsia" w:ascii="宋体" w:hAnsi="宋体" w:eastAsia="宋体" w:cs="宋体"/>
          <w:b/>
          <w:color w:val="000000"/>
          <w:sz w:val="28"/>
          <w:szCs w:val="28"/>
          <w:lang w:eastAsia="zh-CN"/>
        </w:rPr>
        <w:t>东北证券股份有限公司上海证券交易所风险警示股票风险揭示书</w:t>
      </w:r>
    </w:p>
    <w:p w14:paraId="20B89830">
      <w:pPr>
        <w:keepNext w:val="0"/>
        <w:keepLines w:val="0"/>
        <w:pageBreakBefore w:val="0"/>
        <w:kinsoku/>
        <w:wordWrap/>
        <w:overflowPunct/>
        <w:topLinePunct w:val="0"/>
        <w:bidi w:val="0"/>
        <w:snapToGrid/>
        <w:spacing w:line="360" w:lineRule="exact"/>
        <w:textAlignment w:val="auto"/>
        <w:rPr>
          <w:rFonts w:ascii="仿宋_GB2312" w:eastAsia="仿宋_GB2312"/>
          <w:sz w:val="28"/>
          <w:szCs w:val="28"/>
          <w:lang w:val="ru-RU"/>
        </w:rPr>
      </w:pPr>
    </w:p>
    <w:p w14:paraId="62FB7A00">
      <w:pPr>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360" w:lineRule="exact"/>
        <w:ind w:firstLine="420" w:firstLineChars="0"/>
        <w:jc w:val="left"/>
        <w:textAlignment w:val="auto"/>
        <w:rPr>
          <w:rFonts w:hint="eastAsia" w:cs="仿宋" w:asciiTheme="minorEastAsia" w:hAnsiTheme="minorEastAsia" w:eastAsiaTheme="minorEastAsia"/>
          <w:b w:val="0"/>
          <w:bCs/>
          <w:color w:val="000000"/>
          <w:sz w:val="21"/>
          <w:szCs w:val="21"/>
          <w:lang w:eastAsia="zh-CN"/>
        </w:rPr>
      </w:pPr>
      <w:r>
        <w:rPr>
          <w:rFonts w:hint="eastAsia" w:cs="仿宋" w:asciiTheme="minorEastAsia" w:hAnsiTheme="minorEastAsia" w:eastAsiaTheme="minorEastAsia"/>
          <w:b w:val="0"/>
          <w:bCs/>
          <w:color w:val="000000"/>
          <w:sz w:val="21"/>
          <w:szCs w:val="21"/>
          <w:lang w:eastAsia="zh-CN"/>
        </w:rPr>
        <w:t>为了保护投资者的合法权益，使投资者充分了解被上海证券交易所（以下简称上交所）实施风险警示的股票（以下简称风险警示股票）的交易风险，依据上交所相关规定，请投资者在首次委托买入风险警示股票前，务必了解面临的风险，认真阅读《东北证券股份有限公司上海证券交易所风险警示股票风险揭示书》（以下简称《风险揭示书》），慎重决定是否参与。</w:t>
      </w:r>
    </w:p>
    <w:p w14:paraId="7BFE7127">
      <w:pPr>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360" w:lineRule="exact"/>
        <w:ind w:firstLine="420" w:firstLineChars="0"/>
        <w:jc w:val="left"/>
        <w:textAlignment w:val="auto"/>
        <w:rPr>
          <w:rFonts w:hint="eastAsia" w:cs="仿宋" w:asciiTheme="minorEastAsia" w:hAnsiTheme="minorEastAsia" w:eastAsiaTheme="minorEastAsia"/>
          <w:b w:val="0"/>
          <w:bCs/>
          <w:color w:val="000000"/>
          <w:sz w:val="21"/>
          <w:szCs w:val="21"/>
          <w:lang w:eastAsia="zh-CN"/>
        </w:rPr>
      </w:pPr>
      <w:r>
        <w:rPr>
          <w:rFonts w:hint="eastAsia" w:cs="仿宋" w:asciiTheme="minorEastAsia" w:hAnsiTheme="minorEastAsia" w:eastAsiaTheme="minorEastAsia"/>
          <w:b w:val="0"/>
          <w:bCs/>
          <w:color w:val="000000"/>
          <w:sz w:val="21"/>
          <w:szCs w:val="21"/>
          <w:lang w:eastAsia="zh-CN"/>
        </w:rPr>
        <w:t>一、投资者在参与风险警示股票交易前，应充分了解风险警示股票交易规定和相关上市公司的基本面情况，并根据自身财务状况、实际需求及风险承受能力等，审慎考虑是否买入风险警示股票。</w:t>
      </w:r>
    </w:p>
    <w:p w14:paraId="04027512">
      <w:pPr>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360" w:lineRule="exact"/>
        <w:ind w:firstLine="420" w:firstLineChars="0"/>
        <w:jc w:val="left"/>
        <w:textAlignment w:val="auto"/>
        <w:rPr>
          <w:rFonts w:hint="eastAsia" w:cs="仿宋" w:asciiTheme="minorEastAsia" w:hAnsiTheme="minorEastAsia" w:eastAsiaTheme="minorEastAsia"/>
          <w:b w:val="0"/>
          <w:bCs/>
          <w:color w:val="000000"/>
          <w:sz w:val="21"/>
          <w:szCs w:val="21"/>
          <w:lang w:eastAsia="zh-CN"/>
        </w:rPr>
      </w:pPr>
      <w:r>
        <w:rPr>
          <w:rFonts w:hint="eastAsia" w:cs="仿宋" w:asciiTheme="minorEastAsia" w:hAnsiTheme="minorEastAsia" w:eastAsiaTheme="minorEastAsia"/>
          <w:b w:val="0"/>
          <w:bCs/>
          <w:color w:val="000000"/>
          <w:sz w:val="21"/>
          <w:szCs w:val="21"/>
          <w:lang w:eastAsia="zh-CN"/>
        </w:rPr>
        <w:t>二、投资者在参与风险警示股票交易前，应充分了解投资者买卖风险警示股票应当采用限价委托的方式。</w:t>
      </w:r>
    </w:p>
    <w:p w14:paraId="2554E9FA">
      <w:pPr>
        <w:pStyle w:val="9"/>
        <w:keepNext w:val="0"/>
        <w:keepLines w:val="0"/>
        <w:pageBreakBefore w:val="0"/>
        <w:widowControl w:val="0"/>
        <w:kinsoku/>
        <w:wordWrap/>
        <w:overflowPunct/>
        <w:topLinePunct w:val="0"/>
        <w:autoSpaceDE w:val="0"/>
        <w:autoSpaceDN w:val="0"/>
        <w:bidi w:val="0"/>
        <w:adjustRightInd w:val="0"/>
        <w:snapToGrid/>
        <w:spacing w:before="0" w:after="0" w:line="360" w:lineRule="exact"/>
        <w:ind w:firstLine="420" w:firstLineChars="200"/>
        <w:jc w:val="left"/>
        <w:textAlignment w:val="auto"/>
        <w:rPr>
          <w:rFonts w:hint="eastAsia" w:cs="仿宋" w:asciiTheme="minorEastAsia" w:hAnsiTheme="minorEastAsia" w:eastAsiaTheme="minorEastAsia"/>
          <w:b w:val="0"/>
          <w:bCs/>
          <w:color w:val="000000"/>
          <w:sz w:val="21"/>
          <w:szCs w:val="21"/>
          <w:lang w:val="en-US" w:eastAsia="zh-CN"/>
        </w:rPr>
      </w:pPr>
      <w:r>
        <w:rPr>
          <w:rFonts w:hint="eastAsia" w:cs="仿宋" w:asciiTheme="minorEastAsia" w:hAnsiTheme="minorEastAsia" w:eastAsiaTheme="minorEastAsia"/>
          <w:b w:val="0"/>
          <w:bCs/>
          <w:color w:val="000000"/>
          <w:sz w:val="21"/>
          <w:szCs w:val="21"/>
          <w:lang w:val="en-US" w:eastAsia="zh-CN"/>
        </w:rPr>
        <w:t>三、投资者当日通过竞价交</w:t>
      </w:r>
      <w:r>
        <w:rPr>
          <w:rFonts w:hint="eastAsia" w:cs="仿宋" w:asciiTheme="minorEastAsia" w:hAnsiTheme="minorEastAsia" w:eastAsiaTheme="minorEastAsia"/>
          <w:b w:val="0"/>
          <w:bCs/>
          <w:color w:val="000000"/>
          <w:sz w:val="21"/>
          <w:szCs w:val="21"/>
          <w:u w:val="none"/>
          <w:lang w:val="en-US" w:eastAsia="zh-CN"/>
        </w:rPr>
        <w:t>易</w:t>
      </w:r>
      <w:r>
        <w:rPr>
          <w:rFonts w:hint="eastAsia" w:cs="仿宋" w:asciiTheme="minorEastAsia" w:hAnsiTheme="minorEastAsia" w:eastAsiaTheme="minorEastAsia"/>
          <w:b w:val="0"/>
          <w:bCs/>
          <w:color w:val="000000"/>
          <w:kern w:val="0"/>
          <w:sz w:val="21"/>
          <w:szCs w:val="21"/>
          <w:u w:val="none"/>
          <w:lang w:val="en-US" w:eastAsia="zh-CN"/>
        </w:rPr>
        <w:t>、大宗交易和盘后固定价格交易累计</w:t>
      </w:r>
      <w:r>
        <w:rPr>
          <w:rFonts w:hint="eastAsia" w:cs="仿宋" w:asciiTheme="minorEastAsia" w:hAnsiTheme="minorEastAsia" w:eastAsiaTheme="minorEastAsia"/>
          <w:b w:val="0"/>
          <w:bCs/>
          <w:color w:val="000000"/>
          <w:sz w:val="21"/>
          <w:szCs w:val="21"/>
          <w:lang w:val="en-US" w:eastAsia="zh-CN"/>
        </w:rPr>
        <w:t>买入的单只风险警示股票，数量不得超过50万股。投资者当日累计买入风险警示股票数量，按照该投资者以本人名义开立的证券账户与融资融券信用证券账户的买入量合并计算；投资者委托买入数量与当日已买入数量及已申报买入但尚未成交、也未撤销的数量之和，不得超过50万股。上市公司回购股份、5%以上股东根据已披露的增持计划增持股份可不受前述50万股买入限制。</w:t>
      </w:r>
    </w:p>
    <w:p w14:paraId="1B78D2A8">
      <w:pPr>
        <w:pStyle w:val="9"/>
        <w:keepNext w:val="0"/>
        <w:keepLines w:val="0"/>
        <w:pageBreakBefore w:val="0"/>
        <w:widowControl w:val="0"/>
        <w:kinsoku/>
        <w:wordWrap/>
        <w:overflowPunct/>
        <w:topLinePunct w:val="0"/>
        <w:autoSpaceDE w:val="0"/>
        <w:autoSpaceDN w:val="0"/>
        <w:bidi w:val="0"/>
        <w:adjustRightInd w:val="0"/>
        <w:snapToGrid/>
        <w:spacing w:before="0" w:after="0" w:line="360" w:lineRule="exact"/>
        <w:ind w:firstLine="420" w:firstLineChars="200"/>
        <w:jc w:val="left"/>
        <w:textAlignment w:val="auto"/>
        <w:rPr>
          <w:rFonts w:hint="eastAsia" w:cs="仿宋" w:asciiTheme="minorEastAsia" w:hAnsiTheme="minorEastAsia" w:eastAsiaTheme="minorEastAsia"/>
          <w:b w:val="0"/>
          <w:bCs/>
          <w:color w:val="000000"/>
          <w:sz w:val="21"/>
          <w:szCs w:val="21"/>
          <w:lang w:val="en-US" w:eastAsia="zh-CN"/>
        </w:rPr>
      </w:pPr>
      <w:r>
        <w:rPr>
          <w:rFonts w:hint="eastAsia" w:cs="仿宋" w:asciiTheme="minorEastAsia" w:hAnsiTheme="minorEastAsia" w:eastAsiaTheme="minorEastAsia"/>
          <w:b w:val="0"/>
          <w:bCs/>
          <w:color w:val="000000"/>
          <w:sz w:val="21"/>
          <w:szCs w:val="21"/>
          <w:lang w:val="en-US" w:eastAsia="zh-CN"/>
        </w:rPr>
        <w:t>四、投资者应当特别关注上市公司发布的风险提示性公告，及时从符合中国证监会规定条件的媒体等渠道获取相关信息。</w:t>
      </w:r>
    </w:p>
    <w:p w14:paraId="6BB0862D">
      <w:pPr>
        <w:pStyle w:val="9"/>
        <w:keepNext w:val="0"/>
        <w:keepLines w:val="0"/>
        <w:pageBreakBefore w:val="0"/>
        <w:widowControl w:val="0"/>
        <w:kinsoku/>
        <w:wordWrap/>
        <w:overflowPunct/>
        <w:topLinePunct w:val="0"/>
        <w:autoSpaceDE w:val="0"/>
        <w:autoSpaceDN w:val="0"/>
        <w:bidi w:val="0"/>
        <w:adjustRightInd w:val="0"/>
        <w:snapToGrid/>
        <w:spacing w:before="0" w:after="0" w:line="360" w:lineRule="exact"/>
        <w:ind w:firstLine="420" w:firstLineChars="200"/>
        <w:jc w:val="left"/>
        <w:textAlignment w:val="auto"/>
        <w:rPr>
          <w:rFonts w:hint="eastAsia" w:cs="仿宋" w:asciiTheme="minorEastAsia" w:hAnsiTheme="minorEastAsia" w:eastAsiaTheme="minorEastAsia"/>
          <w:b w:val="0"/>
          <w:bCs/>
          <w:color w:val="000000"/>
          <w:sz w:val="21"/>
          <w:szCs w:val="21"/>
          <w:lang w:val="en-US" w:eastAsia="zh-CN"/>
        </w:rPr>
      </w:pPr>
      <w:r>
        <w:rPr>
          <w:rFonts w:hint="eastAsia" w:cs="仿宋" w:asciiTheme="minorEastAsia" w:hAnsiTheme="minorEastAsia" w:eastAsiaTheme="minorEastAsia"/>
          <w:b w:val="0"/>
          <w:bCs/>
          <w:color w:val="000000"/>
          <w:sz w:val="21"/>
          <w:szCs w:val="21"/>
          <w:lang w:val="en-US" w:eastAsia="zh-CN"/>
        </w:rPr>
        <w:t>五、风险警示股票相关法律、行政法规、部门规章、规范性文件（以下简称法律法规）、证券交易所和登记结算机构业务规则可能根据市场情况进行制定、废止和修改，投资者应当及时予以关注和了解。</w:t>
      </w:r>
    </w:p>
    <w:p w14:paraId="7DFE7300">
      <w:pPr>
        <w:pStyle w:val="9"/>
        <w:keepNext w:val="0"/>
        <w:keepLines w:val="0"/>
        <w:pageBreakBefore w:val="0"/>
        <w:widowControl w:val="0"/>
        <w:kinsoku/>
        <w:wordWrap/>
        <w:overflowPunct/>
        <w:topLinePunct w:val="0"/>
        <w:autoSpaceDE w:val="0"/>
        <w:autoSpaceDN w:val="0"/>
        <w:bidi w:val="0"/>
        <w:adjustRightInd w:val="0"/>
        <w:snapToGrid/>
        <w:spacing w:before="0" w:after="0" w:line="360" w:lineRule="exact"/>
        <w:ind w:firstLine="420" w:firstLineChars="200"/>
        <w:jc w:val="left"/>
        <w:textAlignment w:val="auto"/>
        <w:rPr>
          <w:rFonts w:hint="eastAsia"/>
          <w:lang w:val="en-US" w:eastAsia="zh-CN"/>
        </w:rPr>
      </w:pPr>
      <w:r>
        <w:rPr>
          <w:rFonts w:hint="eastAsia" w:cs="仿宋" w:asciiTheme="minorEastAsia" w:hAnsiTheme="minorEastAsia" w:eastAsiaTheme="minorEastAsia"/>
          <w:b w:val="0"/>
          <w:bCs/>
          <w:color w:val="000000"/>
          <w:sz w:val="21"/>
          <w:szCs w:val="21"/>
          <w:lang w:val="en-US" w:eastAsia="zh-CN"/>
        </w:rPr>
        <w:t>六、</w:t>
      </w:r>
      <w:r>
        <w:rPr>
          <w:rFonts w:hint="eastAsia"/>
          <w:lang w:val="en-US" w:eastAsia="zh-CN"/>
        </w:rPr>
        <w:t>投资者参与该项服务前，请充分了解该项服务可能存在的以下事项，包括但不限于：</w:t>
      </w:r>
    </w:p>
    <w:p w14:paraId="1BCC6400">
      <w:pPr>
        <w:pStyle w:val="9"/>
        <w:keepNext w:val="0"/>
        <w:keepLines w:val="0"/>
        <w:pageBreakBefore w:val="0"/>
        <w:widowControl w:val="0"/>
        <w:kinsoku/>
        <w:wordWrap/>
        <w:overflowPunct/>
        <w:topLinePunct w:val="0"/>
        <w:autoSpaceDE w:val="0"/>
        <w:autoSpaceDN w:val="0"/>
        <w:bidi w:val="0"/>
        <w:adjustRightInd w:val="0"/>
        <w:snapToGrid/>
        <w:spacing w:before="0" w:after="0" w:line="360" w:lineRule="exact"/>
        <w:ind w:firstLine="440" w:firstLineChars="200"/>
        <w:jc w:val="left"/>
        <w:textAlignment w:val="auto"/>
        <w:rPr>
          <w:rFonts w:hint="eastAsia"/>
          <w:lang w:val="en-US" w:eastAsia="zh-CN"/>
        </w:rPr>
      </w:pPr>
      <w:r>
        <w:rPr>
          <w:rFonts w:hint="eastAsia"/>
          <w:lang w:val="en-US" w:eastAsia="zh-CN"/>
        </w:rPr>
        <w:t>（一）可能存在直接导致投资者本金亏损或者直接导致超过原始本金损失的事项；</w:t>
      </w:r>
    </w:p>
    <w:p w14:paraId="259B9412">
      <w:pPr>
        <w:pStyle w:val="9"/>
        <w:keepNext w:val="0"/>
        <w:keepLines w:val="0"/>
        <w:pageBreakBefore w:val="0"/>
        <w:widowControl w:val="0"/>
        <w:kinsoku/>
        <w:wordWrap/>
        <w:overflowPunct/>
        <w:topLinePunct w:val="0"/>
        <w:autoSpaceDE w:val="0"/>
        <w:autoSpaceDN w:val="0"/>
        <w:bidi w:val="0"/>
        <w:adjustRightInd w:val="0"/>
        <w:snapToGrid/>
        <w:spacing w:before="0" w:after="0" w:line="360" w:lineRule="exact"/>
        <w:ind w:firstLine="440" w:firstLineChars="200"/>
        <w:jc w:val="left"/>
        <w:textAlignment w:val="auto"/>
        <w:rPr>
          <w:rFonts w:hint="eastAsia"/>
          <w:lang w:val="en-US" w:eastAsia="zh-CN"/>
        </w:rPr>
      </w:pPr>
      <w:r>
        <w:rPr>
          <w:rFonts w:hint="eastAsia"/>
          <w:lang w:val="en-US" w:eastAsia="zh-CN"/>
        </w:rPr>
        <w:t>（二）我公司因停业、解散、撤销、破产，或者被中国证监会撤销相关业务许可、责令停业整顿等原因，可能导致投资者的本金损失或原始本金损失；</w:t>
      </w:r>
    </w:p>
    <w:p w14:paraId="4AD35BD1">
      <w:pPr>
        <w:pStyle w:val="9"/>
        <w:keepNext w:val="0"/>
        <w:keepLines w:val="0"/>
        <w:pageBreakBefore w:val="0"/>
        <w:widowControl w:val="0"/>
        <w:kinsoku/>
        <w:wordWrap/>
        <w:overflowPunct/>
        <w:topLinePunct w:val="0"/>
        <w:autoSpaceDE w:val="0"/>
        <w:autoSpaceDN w:val="0"/>
        <w:bidi w:val="0"/>
        <w:adjustRightInd w:val="0"/>
        <w:snapToGrid/>
        <w:spacing w:before="0" w:after="0" w:line="360" w:lineRule="exact"/>
        <w:ind w:firstLine="440" w:firstLineChars="200"/>
        <w:jc w:val="left"/>
        <w:textAlignment w:val="auto"/>
        <w:rPr>
          <w:rFonts w:hint="eastAsia" w:cs="仿宋" w:asciiTheme="minorEastAsia" w:hAnsiTheme="minorEastAsia" w:eastAsiaTheme="minorEastAsia"/>
          <w:b/>
          <w:color w:val="000000"/>
          <w:sz w:val="21"/>
          <w:szCs w:val="21"/>
          <w:lang w:eastAsia="zh-CN"/>
        </w:rPr>
      </w:pPr>
      <w:r>
        <w:rPr>
          <w:rFonts w:hint="eastAsia"/>
          <w:lang w:val="en-US" w:eastAsia="zh-CN"/>
        </w:rPr>
        <w:t>（三）如果相关法律、法规、规章、政策及证券交易所或者中国结算的业务规则发生变化，我公司会依照上述变化变更协议、风险揭示书相关条款，由此可能会影响投资者的投资判断。</w:t>
      </w:r>
    </w:p>
    <w:p w14:paraId="413315E8">
      <w:pPr>
        <w:pStyle w:val="9"/>
        <w:keepNext w:val="0"/>
        <w:keepLines w:val="0"/>
        <w:pageBreakBefore w:val="0"/>
        <w:widowControl w:val="0"/>
        <w:kinsoku/>
        <w:wordWrap/>
        <w:overflowPunct/>
        <w:topLinePunct w:val="0"/>
        <w:autoSpaceDE w:val="0"/>
        <w:autoSpaceDN w:val="0"/>
        <w:bidi w:val="0"/>
        <w:adjustRightInd w:val="0"/>
        <w:snapToGrid/>
        <w:spacing w:before="0" w:after="0" w:line="360" w:lineRule="exact"/>
        <w:ind w:firstLine="422" w:firstLineChars="200"/>
        <w:jc w:val="left"/>
        <w:textAlignment w:val="auto"/>
        <w:rPr>
          <w:rFonts w:hint="eastAsia" w:cs="仿宋" w:asciiTheme="minorEastAsia" w:hAnsiTheme="minorEastAsia" w:eastAsiaTheme="minorEastAsia"/>
          <w:b/>
          <w:color w:val="000000"/>
          <w:sz w:val="21"/>
          <w:szCs w:val="21"/>
          <w:lang w:eastAsia="zh-CN"/>
        </w:rPr>
      </w:pPr>
      <w:r>
        <w:rPr>
          <w:rFonts w:hint="eastAsia" w:cs="仿宋" w:asciiTheme="minorEastAsia" w:hAnsiTheme="minorEastAsia" w:eastAsiaTheme="minorEastAsia"/>
          <w:b/>
          <w:color w:val="000000"/>
          <w:sz w:val="21"/>
          <w:szCs w:val="21"/>
          <w:lang w:eastAsia="zh-CN"/>
        </w:rPr>
        <w:t>特别提示：</w:t>
      </w:r>
    </w:p>
    <w:p w14:paraId="0C3C664D">
      <w:pPr>
        <w:pStyle w:val="9"/>
        <w:keepNext w:val="0"/>
        <w:keepLines w:val="0"/>
        <w:pageBreakBefore w:val="0"/>
        <w:widowControl w:val="0"/>
        <w:kinsoku/>
        <w:wordWrap/>
        <w:overflowPunct/>
        <w:topLinePunct w:val="0"/>
        <w:autoSpaceDE w:val="0"/>
        <w:autoSpaceDN w:val="0"/>
        <w:bidi w:val="0"/>
        <w:adjustRightInd w:val="0"/>
        <w:snapToGrid/>
        <w:spacing w:before="0" w:after="0" w:line="360" w:lineRule="exact"/>
        <w:ind w:firstLine="422" w:firstLineChars="200"/>
        <w:jc w:val="left"/>
        <w:textAlignment w:val="auto"/>
        <w:rPr>
          <w:rFonts w:hint="eastAsia" w:cs="仿宋" w:asciiTheme="minorEastAsia" w:hAnsiTheme="minorEastAsia" w:eastAsiaTheme="minorEastAsia"/>
          <w:b/>
          <w:color w:val="000000"/>
          <w:sz w:val="21"/>
          <w:szCs w:val="21"/>
          <w:highlight w:val="none"/>
          <w:lang w:eastAsia="zh-CN"/>
        </w:rPr>
      </w:pPr>
      <w:r>
        <w:rPr>
          <w:rFonts w:hint="eastAsia" w:cs="仿宋" w:asciiTheme="minorEastAsia" w:hAnsiTheme="minorEastAsia" w:eastAsiaTheme="minorEastAsia"/>
          <w:b/>
          <w:color w:val="000000"/>
          <w:sz w:val="21"/>
          <w:szCs w:val="21"/>
          <w:highlight w:val="none"/>
          <w:lang w:eastAsia="zh-CN"/>
        </w:rPr>
        <w:t>请确保您所申请开立的账户用途合法，不得利用证券经营机构通道进行非法代客交易，不得存在将账户提供给他人使用或者用于非法代客交易等情形。</w:t>
      </w:r>
      <w:r>
        <w:rPr>
          <w:rFonts w:hint="eastAsia" w:cs="仿宋" w:asciiTheme="minorEastAsia" w:hAnsiTheme="minorEastAsia" w:eastAsiaTheme="minorEastAsia"/>
          <w:b/>
          <w:color w:val="000000"/>
          <w:sz w:val="21"/>
          <w:szCs w:val="21"/>
          <w:highlight w:val="none"/>
          <w:lang w:eastAsia="zh-CN"/>
        </w:rPr>
        <w:tab/>
      </w:r>
    </w:p>
    <w:p w14:paraId="7465329A">
      <w:pPr>
        <w:pStyle w:val="9"/>
        <w:keepNext w:val="0"/>
        <w:keepLines w:val="0"/>
        <w:pageBreakBefore w:val="0"/>
        <w:widowControl w:val="0"/>
        <w:kinsoku/>
        <w:wordWrap/>
        <w:overflowPunct/>
        <w:topLinePunct w:val="0"/>
        <w:autoSpaceDE w:val="0"/>
        <w:autoSpaceDN w:val="0"/>
        <w:bidi w:val="0"/>
        <w:adjustRightInd w:val="0"/>
        <w:snapToGrid/>
        <w:spacing w:before="0" w:after="0" w:line="360" w:lineRule="exact"/>
        <w:ind w:firstLine="422" w:firstLineChars="200"/>
        <w:jc w:val="left"/>
        <w:textAlignment w:val="auto"/>
        <w:rPr>
          <w:rFonts w:hint="eastAsia" w:cs="仿宋" w:asciiTheme="minorEastAsia" w:hAnsiTheme="minorEastAsia" w:eastAsiaTheme="minorEastAsia"/>
          <w:b/>
          <w:color w:val="000000"/>
          <w:sz w:val="21"/>
          <w:szCs w:val="21"/>
          <w:highlight w:val="none"/>
          <w:lang w:val="ru-RU" w:eastAsia="zh-CN"/>
        </w:rPr>
      </w:pPr>
      <w:r>
        <w:rPr>
          <w:rFonts w:hint="eastAsia" w:cs="仿宋" w:asciiTheme="minorEastAsia" w:hAnsiTheme="minorEastAsia" w:eastAsiaTheme="minorEastAsia"/>
          <w:b/>
          <w:color w:val="000000"/>
          <w:sz w:val="21"/>
          <w:szCs w:val="21"/>
          <w:highlight w:val="none"/>
          <w:lang w:val="ru-RU" w:eastAsia="zh-CN"/>
        </w:rPr>
        <w:t>本《风险揭示书》的揭示事项仅为列举事项，未能详尽载明该项业务的所有风险。投资者在参与该项业务前，应当认真阅读信息披露公告、业务协议、产品说明书等法律文件，熟悉该项业务相关法律法规、交易所相关业务规则等，对其他可能存在的风险因素也应当有所了解和掌握，并确信自己已经做好足够的风险控制和财务安排，避免因参与该项业务遭受难以承受的风险。</w:t>
      </w:r>
    </w:p>
    <w:p w14:paraId="74EC9C1C">
      <w:pPr>
        <w:pStyle w:val="9"/>
        <w:keepNext w:val="0"/>
        <w:keepLines w:val="0"/>
        <w:pageBreakBefore w:val="0"/>
        <w:widowControl w:val="0"/>
        <w:kinsoku/>
        <w:wordWrap/>
        <w:overflowPunct/>
        <w:topLinePunct w:val="0"/>
        <w:autoSpaceDE w:val="0"/>
        <w:autoSpaceDN w:val="0"/>
        <w:bidi w:val="0"/>
        <w:adjustRightInd w:val="0"/>
        <w:snapToGrid/>
        <w:spacing w:before="0" w:after="0" w:line="360" w:lineRule="exact"/>
        <w:ind w:firstLine="422" w:firstLineChars="200"/>
        <w:jc w:val="left"/>
        <w:textAlignment w:val="auto"/>
        <w:rPr>
          <w:rFonts w:hint="eastAsia" w:cs="仿宋" w:asciiTheme="minorEastAsia" w:hAnsiTheme="minorEastAsia" w:eastAsiaTheme="minorEastAsia"/>
          <w:b/>
          <w:color w:val="000000"/>
          <w:sz w:val="21"/>
          <w:szCs w:val="21"/>
          <w:lang w:eastAsia="zh-CN"/>
        </w:rPr>
      </w:pPr>
      <w:r>
        <w:rPr>
          <w:rFonts w:hint="eastAsia" w:cs="仿宋" w:asciiTheme="minorEastAsia" w:hAnsiTheme="minorEastAsia" w:eastAsiaTheme="minorEastAsia"/>
          <w:b/>
          <w:color w:val="000000"/>
          <w:sz w:val="21"/>
          <w:szCs w:val="21"/>
          <w:lang w:val="ru-RU" w:eastAsia="zh-CN"/>
        </w:rPr>
        <w:t>投资者在本《风险揭示书》上签字，即表明投资者已经理解并愿意自行承担参与风险警示股票交易的风险和损失。</w:t>
      </w:r>
    </w:p>
    <w:p w14:paraId="401F63E9">
      <w:pPr>
        <w:keepNext w:val="0"/>
        <w:keepLines w:val="0"/>
        <w:pageBreakBefore w:val="0"/>
        <w:kinsoku/>
        <w:wordWrap/>
        <w:overflowPunct/>
        <w:topLinePunct w:val="0"/>
        <w:bidi w:val="0"/>
        <w:snapToGrid/>
        <w:spacing w:line="360" w:lineRule="exact"/>
        <w:textAlignment w:val="auto"/>
      </w:pPr>
    </w:p>
    <w:p w14:paraId="52A556B5">
      <w:pPr>
        <w:keepNext w:val="0"/>
        <w:keepLines w:val="0"/>
        <w:pageBreakBefore w:val="0"/>
        <w:kinsoku/>
        <w:wordWrap/>
        <w:overflowPunct/>
        <w:topLinePunct w:val="0"/>
        <w:bidi w:val="0"/>
        <w:snapToGrid/>
        <w:spacing w:line="360" w:lineRule="exact"/>
        <w:textAlignment w:val="auto"/>
      </w:pPr>
    </w:p>
    <w:p w14:paraId="600594B4">
      <w:pPr>
        <w:keepNext w:val="0"/>
        <w:keepLines w:val="0"/>
        <w:pageBreakBefore w:val="0"/>
        <w:kinsoku/>
        <w:wordWrap/>
        <w:overflowPunct/>
        <w:topLinePunct w:val="0"/>
        <w:bidi w:val="0"/>
        <w:snapToGrid/>
        <w:spacing w:line="360" w:lineRule="exact"/>
        <w:jc w:val="center"/>
        <w:textAlignment w:val="auto"/>
        <w:rPr>
          <w:rFonts w:hint="eastAsia" w:ascii="宋体" w:hAnsi="宋体" w:cs="宋体"/>
          <w:b/>
          <w:color w:val="000000"/>
          <w:sz w:val="28"/>
          <w:szCs w:val="28"/>
        </w:rPr>
      </w:pPr>
    </w:p>
    <w:p w14:paraId="0F8C274E">
      <w:pPr>
        <w:keepNext w:val="0"/>
        <w:keepLines w:val="0"/>
        <w:pageBreakBefore w:val="0"/>
        <w:kinsoku/>
        <w:wordWrap/>
        <w:overflowPunct/>
        <w:topLinePunct w:val="0"/>
        <w:bidi w:val="0"/>
        <w:snapToGrid/>
        <w:spacing w:line="360" w:lineRule="exact"/>
        <w:jc w:val="center"/>
        <w:textAlignment w:val="auto"/>
        <w:rPr>
          <w:rFonts w:ascii="宋体" w:hAnsi="宋体" w:cs="宋体"/>
          <w:b/>
          <w:color w:val="000000"/>
          <w:sz w:val="28"/>
          <w:szCs w:val="28"/>
        </w:rPr>
      </w:pPr>
      <w:r>
        <w:rPr>
          <w:rFonts w:hint="eastAsia" w:ascii="宋体" w:hAnsi="宋体" w:cs="宋体"/>
          <w:b/>
          <w:color w:val="000000"/>
          <w:sz w:val="28"/>
          <w:szCs w:val="28"/>
        </w:rPr>
        <w:t>东北证券股份有限公司深圳证券交易所风险警示股票风险揭示书</w:t>
      </w:r>
    </w:p>
    <w:p w14:paraId="1EF1343C">
      <w:pPr>
        <w:pStyle w:val="9"/>
        <w:keepNext w:val="0"/>
        <w:keepLines w:val="0"/>
        <w:pageBreakBefore w:val="0"/>
        <w:widowControl w:val="0"/>
        <w:kinsoku/>
        <w:wordWrap/>
        <w:overflowPunct/>
        <w:topLinePunct w:val="0"/>
        <w:autoSpaceDE w:val="0"/>
        <w:autoSpaceDN w:val="0"/>
        <w:bidi w:val="0"/>
        <w:adjustRightInd w:val="0"/>
        <w:snapToGrid/>
        <w:spacing w:before="0" w:after="0" w:line="360" w:lineRule="exact"/>
        <w:ind w:firstLine="420" w:firstLineChars="200"/>
        <w:jc w:val="left"/>
        <w:textAlignment w:val="auto"/>
        <w:rPr>
          <w:rFonts w:cs="仿宋" w:asciiTheme="minorEastAsia" w:hAnsiTheme="minorEastAsia" w:eastAsiaTheme="minorEastAsia"/>
          <w:color w:val="000000"/>
          <w:sz w:val="21"/>
          <w:szCs w:val="21"/>
          <w:lang w:eastAsia="zh-CN"/>
        </w:rPr>
      </w:pPr>
    </w:p>
    <w:p w14:paraId="6F13B93D">
      <w:pPr>
        <w:pStyle w:val="9"/>
        <w:keepNext w:val="0"/>
        <w:keepLines w:val="0"/>
        <w:pageBreakBefore w:val="0"/>
        <w:widowControl w:val="0"/>
        <w:kinsoku/>
        <w:wordWrap/>
        <w:overflowPunct/>
        <w:topLinePunct w:val="0"/>
        <w:autoSpaceDE w:val="0"/>
        <w:autoSpaceDN w:val="0"/>
        <w:bidi w:val="0"/>
        <w:adjustRightInd w:val="0"/>
        <w:snapToGrid/>
        <w:spacing w:before="0" w:after="0" w:line="360" w:lineRule="exact"/>
        <w:ind w:firstLine="420" w:firstLineChars="200"/>
        <w:jc w:val="left"/>
        <w:textAlignment w:val="auto"/>
        <w:rPr>
          <w:rFonts w:hint="eastAsia" w:cs="仿宋" w:asciiTheme="minorEastAsia" w:hAnsiTheme="minorEastAsia" w:eastAsiaTheme="minorEastAsia"/>
          <w:b w:val="0"/>
          <w:bCs/>
          <w:color w:val="000000"/>
          <w:sz w:val="21"/>
          <w:szCs w:val="21"/>
          <w:lang w:eastAsia="zh-CN"/>
        </w:rPr>
      </w:pPr>
      <w:r>
        <w:rPr>
          <w:rFonts w:hint="eastAsia" w:cs="仿宋" w:asciiTheme="minorEastAsia" w:hAnsiTheme="minorEastAsia" w:eastAsiaTheme="minorEastAsia"/>
          <w:b w:val="0"/>
          <w:bCs/>
          <w:color w:val="000000"/>
          <w:sz w:val="21"/>
          <w:szCs w:val="21"/>
          <w:lang w:eastAsia="zh-CN"/>
        </w:rPr>
        <w:t>为了保护投资者的合法权益，使投资者充分了解被深圳证券交易所（以下简称深交所）实施风险警示的股票（以下简称风险警示股票）的交易风险，依据深交所相关规定，请投资者在首次委托买入风险警示股票前，务必了解面临的风险，认真阅读《东北证券股份有限公司深圳证券交易所风险警示股票风险揭示书》（以下简称《风险揭示书》），慎重决定是否参与。</w:t>
      </w:r>
    </w:p>
    <w:p w14:paraId="612CF1A6">
      <w:pPr>
        <w:pStyle w:val="9"/>
        <w:keepNext w:val="0"/>
        <w:keepLines w:val="0"/>
        <w:pageBreakBefore w:val="0"/>
        <w:widowControl w:val="0"/>
        <w:kinsoku/>
        <w:wordWrap/>
        <w:overflowPunct/>
        <w:topLinePunct w:val="0"/>
        <w:autoSpaceDE w:val="0"/>
        <w:autoSpaceDN w:val="0"/>
        <w:bidi w:val="0"/>
        <w:adjustRightInd w:val="0"/>
        <w:snapToGrid/>
        <w:spacing w:before="0" w:after="0" w:line="360" w:lineRule="exact"/>
        <w:ind w:firstLine="420" w:firstLineChars="200"/>
        <w:jc w:val="left"/>
        <w:textAlignment w:val="auto"/>
        <w:rPr>
          <w:rFonts w:hint="eastAsia" w:cs="仿宋" w:asciiTheme="minorEastAsia" w:hAnsiTheme="minorEastAsia" w:eastAsiaTheme="minorEastAsia"/>
          <w:b w:val="0"/>
          <w:bCs/>
          <w:color w:val="000000"/>
          <w:sz w:val="21"/>
          <w:szCs w:val="21"/>
          <w:lang w:val="en-US" w:eastAsia="zh-CN"/>
        </w:rPr>
      </w:pPr>
      <w:r>
        <w:rPr>
          <w:rFonts w:hint="eastAsia" w:cs="仿宋" w:asciiTheme="minorEastAsia" w:hAnsiTheme="minorEastAsia" w:eastAsiaTheme="minorEastAsia"/>
          <w:b w:val="0"/>
          <w:bCs/>
          <w:color w:val="000000"/>
          <w:sz w:val="21"/>
          <w:szCs w:val="21"/>
          <w:lang w:val="en-US" w:eastAsia="zh-CN"/>
        </w:rPr>
        <w:t>一、投资者在参与风险警示股票交易前，应充分了解风险警示制度、风险警示股票交易规定和被实施风险警示上市公司的基本面情况，并根据自身财务状况、实际需求及风险承受能力等，审慎考虑是否买入风险警示股票。</w:t>
      </w:r>
    </w:p>
    <w:p w14:paraId="09DA30C1">
      <w:pPr>
        <w:pStyle w:val="9"/>
        <w:keepNext w:val="0"/>
        <w:keepLines w:val="0"/>
        <w:pageBreakBefore w:val="0"/>
        <w:widowControl w:val="0"/>
        <w:kinsoku/>
        <w:wordWrap/>
        <w:overflowPunct/>
        <w:topLinePunct w:val="0"/>
        <w:autoSpaceDE w:val="0"/>
        <w:autoSpaceDN w:val="0"/>
        <w:bidi w:val="0"/>
        <w:adjustRightInd w:val="0"/>
        <w:snapToGrid/>
        <w:spacing w:before="0" w:after="0" w:line="360" w:lineRule="exact"/>
        <w:ind w:firstLine="420" w:firstLineChars="200"/>
        <w:jc w:val="left"/>
        <w:textAlignment w:val="auto"/>
        <w:rPr>
          <w:rFonts w:hint="eastAsia" w:cs="仿宋" w:asciiTheme="minorEastAsia" w:hAnsiTheme="minorEastAsia" w:eastAsiaTheme="minorEastAsia"/>
          <w:b w:val="0"/>
          <w:bCs/>
          <w:color w:val="000000"/>
          <w:sz w:val="21"/>
          <w:szCs w:val="21"/>
          <w:lang w:val="en-US" w:eastAsia="zh-CN"/>
        </w:rPr>
      </w:pPr>
      <w:r>
        <w:rPr>
          <w:rFonts w:hint="eastAsia" w:cs="仿宋" w:asciiTheme="minorEastAsia" w:hAnsiTheme="minorEastAsia" w:eastAsiaTheme="minorEastAsia"/>
          <w:b w:val="0"/>
          <w:bCs/>
          <w:color w:val="000000"/>
          <w:sz w:val="21"/>
          <w:szCs w:val="21"/>
          <w:lang w:val="en-US" w:eastAsia="zh-CN"/>
        </w:rPr>
        <w:t>二、上市公司出现财务状况或者其他状况异常，导致其股票存在终止上市风险，或者投资者难以判断公司前景，其投资权益可能受到损害的，证券交易所可以对该公司股票交易实施风险警示。</w:t>
      </w:r>
    </w:p>
    <w:p w14:paraId="1C783BB3">
      <w:pPr>
        <w:pStyle w:val="9"/>
        <w:keepNext w:val="0"/>
        <w:keepLines w:val="0"/>
        <w:pageBreakBefore w:val="0"/>
        <w:widowControl w:val="0"/>
        <w:kinsoku/>
        <w:wordWrap/>
        <w:overflowPunct/>
        <w:topLinePunct w:val="0"/>
        <w:autoSpaceDE w:val="0"/>
        <w:autoSpaceDN w:val="0"/>
        <w:bidi w:val="0"/>
        <w:adjustRightInd w:val="0"/>
        <w:snapToGrid/>
        <w:spacing w:before="0" w:after="0" w:line="360" w:lineRule="exact"/>
        <w:ind w:firstLine="420" w:firstLineChars="200"/>
        <w:jc w:val="left"/>
        <w:textAlignment w:val="auto"/>
        <w:rPr>
          <w:rFonts w:hint="eastAsia" w:cs="仿宋" w:asciiTheme="minorEastAsia" w:hAnsiTheme="minorEastAsia" w:eastAsiaTheme="minorEastAsia"/>
          <w:b w:val="0"/>
          <w:bCs/>
          <w:color w:val="000000"/>
          <w:sz w:val="21"/>
          <w:szCs w:val="21"/>
          <w:lang w:val="en-US" w:eastAsia="zh-CN"/>
        </w:rPr>
      </w:pPr>
      <w:r>
        <w:rPr>
          <w:rFonts w:hint="eastAsia" w:cs="仿宋" w:asciiTheme="minorEastAsia" w:hAnsiTheme="minorEastAsia" w:eastAsiaTheme="minorEastAsia"/>
          <w:b w:val="0"/>
          <w:bCs/>
          <w:color w:val="000000"/>
          <w:sz w:val="21"/>
          <w:szCs w:val="21"/>
          <w:lang w:val="en-US" w:eastAsia="zh-CN"/>
        </w:rPr>
        <w:t>三、上市公司股票交易被实施退市风险警示的，在股票简称前冠以“*ST”字样，被实施其他风险警示的，在股票简称前冠以“ST”字样，以区别于其他股票。公司同时存在退市风险警示和其他风险警示情形的，在股票简称前冠以“*ST”字样。</w:t>
      </w:r>
    </w:p>
    <w:p w14:paraId="375B0EC1">
      <w:pPr>
        <w:pStyle w:val="9"/>
        <w:keepNext w:val="0"/>
        <w:keepLines w:val="0"/>
        <w:pageBreakBefore w:val="0"/>
        <w:widowControl w:val="0"/>
        <w:kinsoku/>
        <w:wordWrap/>
        <w:overflowPunct/>
        <w:topLinePunct w:val="0"/>
        <w:autoSpaceDE w:val="0"/>
        <w:autoSpaceDN w:val="0"/>
        <w:bidi w:val="0"/>
        <w:adjustRightInd w:val="0"/>
        <w:snapToGrid/>
        <w:spacing w:before="0" w:after="0" w:line="360" w:lineRule="exact"/>
        <w:ind w:firstLine="420" w:firstLineChars="200"/>
        <w:jc w:val="left"/>
        <w:textAlignment w:val="auto"/>
        <w:rPr>
          <w:rFonts w:hint="eastAsia" w:cs="仿宋" w:asciiTheme="minorEastAsia" w:hAnsiTheme="minorEastAsia" w:eastAsiaTheme="minorEastAsia"/>
          <w:b w:val="0"/>
          <w:bCs/>
          <w:color w:val="000000"/>
          <w:sz w:val="21"/>
          <w:szCs w:val="21"/>
          <w:lang w:val="en-US" w:eastAsia="zh-CN"/>
        </w:rPr>
      </w:pPr>
      <w:r>
        <w:rPr>
          <w:rFonts w:hint="eastAsia" w:cs="仿宋" w:asciiTheme="minorEastAsia" w:hAnsiTheme="minorEastAsia" w:eastAsiaTheme="minorEastAsia"/>
          <w:b w:val="0"/>
          <w:bCs/>
          <w:color w:val="000000"/>
          <w:sz w:val="21"/>
          <w:szCs w:val="21"/>
          <w:lang w:val="en-US" w:eastAsia="zh-CN"/>
        </w:rPr>
        <w:t>退市风险警示股票和其他风险警示股票进入风险警示板交易。</w:t>
      </w:r>
    </w:p>
    <w:p w14:paraId="23FECA1D">
      <w:pPr>
        <w:pStyle w:val="9"/>
        <w:keepNext w:val="0"/>
        <w:keepLines w:val="0"/>
        <w:pageBreakBefore w:val="0"/>
        <w:widowControl w:val="0"/>
        <w:kinsoku/>
        <w:wordWrap/>
        <w:overflowPunct/>
        <w:topLinePunct w:val="0"/>
        <w:autoSpaceDE w:val="0"/>
        <w:autoSpaceDN w:val="0"/>
        <w:bidi w:val="0"/>
        <w:adjustRightInd w:val="0"/>
        <w:snapToGrid/>
        <w:spacing w:before="0" w:after="0" w:line="360" w:lineRule="exact"/>
        <w:ind w:firstLine="420" w:firstLineChars="200"/>
        <w:jc w:val="left"/>
        <w:textAlignment w:val="auto"/>
        <w:rPr>
          <w:rFonts w:hint="eastAsia" w:cs="仿宋" w:asciiTheme="minorEastAsia" w:hAnsiTheme="minorEastAsia" w:eastAsiaTheme="minorEastAsia"/>
          <w:b w:val="0"/>
          <w:bCs/>
          <w:color w:val="000000"/>
          <w:sz w:val="21"/>
          <w:szCs w:val="21"/>
          <w:lang w:val="en-US" w:eastAsia="zh-CN"/>
        </w:rPr>
      </w:pPr>
      <w:r>
        <w:rPr>
          <w:rFonts w:hint="eastAsia" w:cs="仿宋" w:asciiTheme="minorEastAsia" w:hAnsiTheme="minorEastAsia" w:eastAsiaTheme="minorEastAsia"/>
          <w:b w:val="0"/>
          <w:bCs/>
          <w:color w:val="000000"/>
          <w:sz w:val="21"/>
          <w:szCs w:val="21"/>
          <w:lang w:val="en-US" w:eastAsia="zh-CN"/>
        </w:rPr>
        <w:t>四、投资者在参与风险警示股票交易前，应当充分了解风险警示股票行情揭示可能与其他股票不同。</w:t>
      </w:r>
    </w:p>
    <w:p w14:paraId="6D05FE19">
      <w:pPr>
        <w:pStyle w:val="9"/>
        <w:keepNext w:val="0"/>
        <w:keepLines w:val="0"/>
        <w:pageBreakBefore w:val="0"/>
        <w:widowControl w:val="0"/>
        <w:kinsoku/>
        <w:wordWrap/>
        <w:overflowPunct/>
        <w:topLinePunct w:val="0"/>
        <w:autoSpaceDE w:val="0"/>
        <w:autoSpaceDN w:val="0"/>
        <w:bidi w:val="0"/>
        <w:adjustRightInd w:val="0"/>
        <w:snapToGrid/>
        <w:spacing w:before="0" w:after="0" w:line="360" w:lineRule="exact"/>
        <w:ind w:firstLine="420" w:firstLineChars="200"/>
        <w:jc w:val="left"/>
        <w:textAlignment w:val="auto"/>
        <w:rPr>
          <w:rFonts w:hint="eastAsia" w:cs="仿宋" w:asciiTheme="minorEastAsia" w:hAnsiTheme="minorEastAsia" w:eastAsiaTheme="minorEastAsia"/>
          <w:b w:val="0"/>
          <w:bCs/>
          <w:color w:val="000000"/>
          <w:sz w:val="21"/>
          <w:szCs w:val="21"/>
          <w:lang w:val="en-US" w:eastAsia="zh-CN"/>
        </w:rPr>
      </w:pPr>
      <w:r>
        <w:rPr>
          <w:rFonts w:hint="eastAsia" w:cs="仿宋" w:asciiTheme="minorEastAsia" w:hAnsiTheme="minorEastAsia" w:eastAsiaTheme="minorEastAsia"/>
          <w:b w:val="0"/>
          <w:bCs/>
          <w:color w:val="000000"/>
          <w:sz w:val="21"/>
          <w:szCs w:val="21"/>
          <w:lang w:val="en-US" w:eastAsia="zh-CN"/>
        </w:rPr>
        <w:t>五、投资者当日通过竞价交易、大宗交易和盘后固定价格交易累计买入的单只风险警示股票，委托买入数量与当日已买入数量及已申报买入但尚未成交、也未撤销的数量之和，不得超过50万股，上市公司回购、5%以上股东根据已披露的增持计划增持股份等情形除外。</w:t>
      </w:r>
    </w:p>
    <w:p w14:paraId="588AE66A">
      <w:pPr>
        <w:pStyle w:val="9"/>
        <w:keepNext w:val="0"/>
        <w:keepLines w:val="0"/>
        <w:pageBreakBefore w:val="0"/>
        <w:widowControl w:val="0"/>
        <w:kinsoku/>
        <w:wordWrap/>
        <w:overflowPunct/>
        <w:topLinePunct w:val="0"/>
        <w:autoSpaceDE w:val="0"/>
        <w:autoSpaceDN w:val="0"/>
        <w:bidi w:val="0"/>
        <w:adjustRightInd w:val="0"/>
        <w:snapToGrid/>
        <w:spacing w:before="0" w:after="0" w:line="360" w:lineRule="exact"/>
        <w:ind w:firstLine="420" w:firstLineChars="200"/>
        <w:jc w:val="left"/>
        <w:textAlignment w:val="auto"/>
        <w:rPr>
          <w:rFonts w:hint="eastAsia" w:cs="仿宋" w:asciiTheme="minorEastAsia" w:hAnsiTheme="minorEastAsia" w:eastAsiaTheme="minorEastAsia"/>
          <w:b w:val="0"/>
          <w:bCs/>
          <w:color w:val="000000"/>
          <w:sz w:val="21"/>
          <w:szCs w:val="21"/>
          <w:lang w:val="en-US" w:eastAsia="zh-CN"/>
        </w:rPr>
      </w:pPr>
      <w:r>
        <w:rPr>
          <w:rFonts w:hint="eastAsia" w:cs="仿宋" w:asciiTheme="minorEastAsia" w:hAnsiTheme="minorEastAsia" w:eastAsiaTheme="minorEastAsia"/>
          <w:b w:val="0"/>
          <w:bCs/>
          <w:color w:val="000000"/>
          <w:sz w:val="21"/>
          <w:szCs w:val="21"/>
          <w:lang w:val="en-US" w:eastAsia="zh-CN"/>
        </w:rPr>
        <w:t>投资者当日累计买入风险警示股票数量，按照该投资者同一证券账户在单个或者多个证券公司的不同证券营业部的买入数量、以本人名义开立的单个或者多个普通证券账户与信用证券账户的买入数量合并计算。</w:t>
      </w:r>
    </w:p>
    <w:p w14:paraId="02159752">
      <w:pPr>
        <w:pStyle w:val="9"/>
        <w:keepNext w:val="0"/>
        <w:keepLines w:val="0"/>
        <w:pageBreakBefore w:val="0"/>
        <w:widowControl w:val="0"/>
        <w:kinsoku/>
        <w:wordWrap/>
        <w:overflowPunct/>
        <w:topLinePunct w:val="0"/>
        <w:autoSpaceDE w:val="0"/>
        <w:autoSpaceDN w:val="0"/>
        <w:bidi w:val="0"/>
        <w:adjustRightInd w:val="0"/>
        <w:snapToGrid/>
        <w:spacing w:before="0" w:after="0" w:line="360" w:lineRule="exact"/>
        <w:ind w:firstLine="420" w:firstLineChars="200"/>
        <w:jc w:val="left"/>
        <w:textAlignment w:val="auto"/>
        <w:rPr>
          <w:rFonts w:hint="eastAsia" w:cs="仿宋" w:asciiTheme="minorEastAsia" w:hAnsiTheme="minorEastAsia" w:eastAsiaTheme="minorEastAsia"/>
          <w:b w:val="0"/>
          <w:bCs/>
          <w:color w:val="000000"/>
          <w:sz w:val="21"/>
          <w:szCs w:val="21"/>
          <w:lang w:val="en-US" w:eastAsia="zh-CN"/>
        </w:rPr>
      </w:pPr>
      <w:r>
        <w:rPr>
          <w:rFonts w:hint="eastAsia" w:cs="仿宋" w:asciiTheme="minorEastAsia" w:hAnsiTheme="minorEastAsia" w:eastAsiaTheme="minorEastAsia"/>
          <w:b w:val="0"/>
          <w:bCs/>
          <w:color w:val="000000"/>
          <w:sz w:val="21"/>
          <w:szCs w:val="21"/>
          <w:lang w:val="en-US" w:eastAsia="zh-CN"/>
        </w:rPr>
        <w:t>六、投资者应当特别关注股票被实施风险警示的上市公司发布的提示性公告，及时从上市公司网站、证券交易所网站、符合中国证监会规定条件的信息披露媒体以及证券公司网站等渠道获取相关信息。</w:t>
      </w:r>
    </w:p>
    <w:p w14:paraId="382BB9B4">
      <w:pPr>
        <w:pStyle w:val="9"/>
        <w:keepNext w:val="0"/>
        <w:keepLines w:val="0"/>
        <w:pageBreakBefore w:val="0"/>
        <w:widowControl w:val="0"/>
        <w:kinsoku/>
        <w:wordWrap/>
        <w:overflowPunct/>
        <w:topLinePunct w:val="0"/>
        <w:autoSpaceDE w:val="0"/>
        <w:autoSpaceDN w:val="0"/>
        <w:bidi w:val="0"/>
        <w:adjustRightInd w:val="0"/>
        <w:snapToGrid/>
        <w:spacing w:before="0" w:after="0" w:line="360" w:lineRule="exact"/>
        <w:ind w:firstLine="420" w:firstLineChars="200"/>
        <w:jc w:val="left"/>
        <w:textAlignment w:val="auto"/>
        <w:rPr>
          <w:rFonts w:hint="eastAsia" w:cs="仿宋" w:asciiTheme="minorEastAsia" w:hAnsiTheme="minorEastAsia" w:eastAsiaTheme="minorEastAsia"/>
          <w:b w:val="0"/>
          <w:bCs/>
          <w:color w:val="000000"/>
          <w:sz w:val="21"/>
          <w:szCs w:val="21"/>
          <w:lang w:val="en-US" w:eastAsia="zh-CN"/>
        </w:rPr>
      </w:pPr>
      <w:r>
        <w:rPr>
          <w:rFonts w:hint="eastAsia" w:cs="仿宋" w:asciiTheme="minorEastAsia" w:hAnsiTheme="minorEastAsia" w:eastAsiaTheme="minorEastAsia"/>
          <w:b w:val="0"/>
          <w:bCs/>
          <w:color w:val="000000"/>
          <w:sz w:val="21"/>
          <w:szCs w:val="21"/>
          <w:lang w:val="en-US" w:eastAsia="zh-CN"/>
        </w:rPr>
        <w:t>七、风险警示股票相关法律、行政法规、部门规章、规范性文件（以下简称法律法规）、证券交易所和登记结算机构业务规则可能根据市场情况进行制定、废止和修改，投资者应当及时予以关注和了解。</w:t>
      </w:r>
    </w:p>
    <w:p w14:paraId="561B8FEC">
      <w:pPr>
        <w:pStyle w:val="9"/>
        <w:keepNext w:val="0"/>
        <w:keepLines w:val="0"/>
        <w:pageBreakBefore w:val="0"/>
        <w:widowControl w:val="0"/>
        <w:kinsoku/>
        <w:wordWrap/>
        <w:overflowPunct/>
        <w:topLinePunct w:val="0"/>
        <w:autoSpaceDE w:val="0"/>
        <w:autoSpaceDN w:val="0"/>
        <w:bidi w:val="0"/>
        <w:adjustRightInd w:val="0"/>
        <w:snapToGrid/>
        <w:spacing w:before="0" w:after="0" w:line="360" w:lineRule="exact"/>
        <w:ind w:firstLine="420" w:firstLineChars="200"/>
        <w:jc w:val="left"/>
        <w:textAlignment w:val="auto"/>
        <w:rPr>
          <w:rFonts w:hint="eastAsia"/>
          <w:lang w:val="en-US" w:eastAsia="zh-CN"/>
        </w:rPr>
      </w:pPr>
      <w:r>
        <w:rPr>
          <w:rFonts w:hint="eastAsia" w:cs="仿宋" w:asciiTheme="minorEastAsia" w:hAnsiTheme="minorEastAsia" w:eastAsiaTheme="minorEastAsia"/>
          <w:b w:val="0"/>
          <w:bCs/>
          <w:color w:val="000000"/>
          <w:sz w:val="21"/>
          <w:szCs w:val="21"/>
          <w:lang w:val="en-US" w:eastAsia="zh-CN"/>
        </w:rPr>
        <w:t>八、</w:t>
      </w:r>
      <w:r>
        <w:rPr>
          <w:rFonts w:hint="eastAsia"/>
          <w:lang w:val="en-US" w:eastAsia="zh-CN"/>
        </w:rPr>
        <w:t>投资者参与该项服务前，请充分了解该项服务可能存在的以下事项，包括但不限于：</w:t>
      </w:r>
    </w:p>
    <w:p w14:paraId="7B14C1E3">
      <w:pPr>
        <w:pStyle w:val="9"/>
        <w:keepNext w:val="0"/>
        <w:keepLines w:val="0"/>
        <w:pageBreakBefore w:val="0"/>
        <w:widowControl w:val="0"/>
        <w:kinsoku/>
        <w:wordWrap/>
        <w:overflowPunct/>
        <w:topLinePunct w:val="0"/>
        <w:autoSpaceDE w:val="0"/>
        <w:autoSpaceDN w:val="0"/>
        <w:bidi w:val="0"/>
        <w:adjustRightInd w:val="0"/>
        <w:snapToGrid/>
        <w:spacing w:before="0" w:after="0" w:line="360" w:lineRule="exact"/>
        <w:ind w:firstLine="440" w:firstLineChars="200"/>
        <w:jc w:val="left"/>
        <w:textAlignment w:val="auto"/>
        <w:rPr>
          <w:rFonts w:hint="eastAsia"/>
          <w:lang w:val="en-US" w:eastAsia="zh-CN"/>
        </w:rPr>
      </w:pPr>
      <w:r>
        <w:rPr>
          <w:rFonts w:hint="eastAsia"/>
          <w:lang w:val="en-US" w:eastAsia="zh-CN"/>
        </w:rPr>
        <w:t>（一）可能存在直接导致投资者本金亏损或者直接导致超过原始本金损失的事项；</w:t>
      </w:r>
    </w:p>
    <w:p w14:paraId="018F7787">
      <w:pPr>
        <w:pStyle w:val="9"/>
        <w:keepNext w:val="0"/>
        <w:keepLines w:val="0"/>
        <w:pageBreakBefore w:val="0"/>
        <w:widowControl w:val="0"/>
        <w:kinsoku/>
        <w:wordWrap/>
        <w:overflowPunct/>
        <w:topLinePunct w:val="0"/>
        <w:autoSpaceDE w:val="0"/>
        <w:autoSpaceDN w:val="0"/>
        <w:bidi w:val="0"/>
        <w:adjustRightInd w:val="0"/>
        <w:snapToGrid/>
        <w:spacing w:before="0" w:after="0" w:line="360" w:lineRule="exact"/>
        <w:ind w:firstLine="440" w:firstLineChars="200"/>
        <w:jc w:val="left"/>
        <w:textAlignment w:val="auto"/>
        <w:rPr>
          <w:rFonts w:hint="eastAsia"/>
          <w:lang w:val="en-US" w:eastAsia="zh-CN"/>
        </w:rPr>
      </w:pPr>
      <w:r>
        <w:rPr>
          <w:rFonts w:hint="eastAsia"/>
          <w:lang w:val="en-US" w:eastAsia="zh-CN"/>
        </w:rPr>
        <w:t>（二）我公司因停业、解散、撤销、破产，或者被中国证监会撤销相关业务许可、责令停业整顿等原因，可能导致投资者的本金损失或原始本金损失；</w:t>
      </w:r>
    </w:p>
    <w:p w14:paraId="3E1FF8A8">
      <w:pPr>
        <w:pStyle w:val="9"/>
        <w:keepNext w:val="0"/>
        <w:keepLines w:val="0"/>
        <w:pageBreakBefore w:val="0"/>
        <w:widowControl w:val="0"/>
        <w:kinsoku/>
        <w:wordWrap/>
        <w:overflowPunct/>
        <w:topLinePunct w:val="0"/>
        <w:autoSpaceDE w:val="0"/>
        <w:autoSpaceDN w:val="0"/>
        <w:bidi w:val="0"/>
        <w:adjustRightInd w:val="0"/>
        <w:snapToGrid/>
        <w:spacing w:before="0" w:after="0" w:line="360" w:lineRule="exact"/>
        <w:ind w:firstLine="440" w:firstLineChars="200"/>
        <w:jc w:val="left"/>
        <w:textAlignment w:val="auto"/>
        <w:rPr>
          <w:rFonts w:hint="eastAsia"/>
          <w:lang w:val="en-US" w:eastAsia="zh-CN"/>
        </w:rPr>
      </w:pPr>
      <w:r>
        <w:rPr>
          <w:rFonts w:hint="eastAsia"/>
          <w:lang w:val="en-US" w:eastAsia="zh-CN"/>
        </w:rPr>
        <w:t>（三）如果相关法律、法规、规章、政策及证券交易所或者中国结算的业务规则发生变化，我公司会依照上述变化变更协议、风险揭示书相关条款，由此可能会影响投资者的投资判断。</w:t>
      </w:r>
    </w:p>
    <w:p w14:paraId="5F50FFC0">
      <w:pPr>
        <w:pStyle w:val="9"/>
        <w:keepNext w:val="0"/>
        <w:keepLines w:val="0"/>
        <w:pageBreakBefore w:val="0"/>
        <w:widowControl w:val="0"/>
        <w:kinsoku/>
        <w:wordWrap/>
        <w:overflowPunct/>
        <w:topLinePunct w:val="0"/>
        <w:autoSpaceDE w:val="0"/>
        <w:autoSpaceDN w:val="0"/>
        <w:bidi w:val="0"/>
        <w:adjustRightInd w:val="0"/>
        <w:snapToGrid/>
        <w:spacing w:before="0" w:after="0" w:line="360" w:lineRule="exact"/>
        <w:ind w:firstLine="422" w:firstLineChars="200"/>
        <w:jc w:val="left"/>
        <w:textAlignment w:val="auto"/>
        <w:rPr>
          <w:rFonts w:hint="eastAsia" w:cs="仿宋" w:asciiTheme="minorEastAsia" w:hAnsiTheme="minorEastAsia" w:eastAsiaTheme="minorEastAsia"/>
          <w:b/>
          <w:color w:val="000000"/>
          <w:sz w:val="21"/>
          <w:szCs w:val="21"/>
          <w:lang w:eastAsia="zh-CN"/>
        </w:rPr>
      </w:pPr>
      <w:r>
        <w:rPr>
          <w:rFonts w:hint="eastAsia" w:cs="仿宋" w:asciiTheme="minorEastAsia" w:hAnsiTheme="minorEastAsia" w:eastAsiaTheme="minorEastAsia"/>
          <w:b/>
          <w:color w:val="000000"/>
          <w:sz w:val="21"/>
          <w:szCs w:val="21"/>
          <w:lang w:eastAsia="zh-CN"/>
        </w:rPr>
        <w:t>特别提示：</w:t>
      </w:r>
    </w:p>
    <w:p w14:paraId="162840F8">
      <w:pPr>
        <w:pStyle w:val="9"/>
        <w:keepNext w:val="0"/>
        <w:keepLines w:val="0"/>
        <w:pageBreakBefore w:val="0"/>
        <w:widowControl w:val="0"/>
        <w:kinsoku/>
        <w:wordWrap/>
        <w:overflowPunct/>
        <w:topLinePunct w:val="0"/>
        <w:autoSpaceDE w:val="0"/>
        <w:autoSpaceDN w:val="0"/>
        <w:bidi w:val="0"/>
        <w:adjustRightInd w:val="0"/>
        <w:snapToGrid/>
        <w:spacing w:before="0" w:after="0" w:line="360" w:lineRule="exact"/>
        <w:ind w:firstLine="422" w:firstLineChars="200"/>
        <w:jc w:val="left"/>
        <w:textAlignment w:val="auto"/>
        <w:rPr>
          <w:rFonts w:hint="eastAsia" w:cs="仿宋" w:asciiTheme="minorEastAsia" w:hAnsiTheme="minorEastAsia" w:eastAsiaTheme="minorEastAsia"/>
          <w:b/>
          <w:color w:val="000000"/>
          <w:sz w:val="21"/>
          <w:szCs w:val="21"/>
          <w:highlight w:val="none"/>
          <w:lang w:val="en-US" w:eastAsia="zh-CN"/>
        </w:rPr>
      </w:pPr>
      <w:r>
        <w:rPr>
          <w:rFonts w:hint="eastAsia" w:cs="仿宋" w:asciiTheme="minorEastAsia" w:hAnsiTheme="minorEastAsia" w:eastAsiaTheme="minorEastAsia"/>
          <w:b/>
          <w:color w:val="000000"/>
          <w:sz w:val="21"/>
          <w:szCs w:val="21"/>
          <w:highlight w:val="none"/>
          <w:lang w:eastAsia="zh-CN"/>
        </w:rPr>
        <w:t>请确保您所申请开立的账户用途合法，不得利用证券经营机构通道进行非法代客交易，不得存在将账户提供给他人使用或者用于非法代客交易等情形。</w:t>
      </w:r>
    </w:p>
    <w:p w14:paraId="7A39EE10">
      <w:pPr>
        <w:pStyle w:val="9"/>
        <w:keepNext w:val="0"/>
        <w:keepLines w:val="0"/>
        <w:pageBreakBefore w:val="0"/>
        <w:widowControl w:val="0"/>
        <w:kinsoku/>
        <w:wordWrap/>
        <w:overflowPunct/>
        <w:topLinePunct w:val="0"/>
        <w:autoSpaceDE w:val="0"/>
        <w:autoSpaceDN w:val="0"/>
        <w:bidi w:val="0"/>
        <w:adjustRightInd w:val="0"/>
        <w:snapToGrid/>
        <w:spacing w:before="0" w:after="0" w:line="360" w:lineRule="exact"/>
        <w:ind w:firstLine="422" w:firstLineChars="200"/>
        <w:jc w:val="left"/>
        <w:textAlignment w:val="auto"/>
        <w:rPr>
          <w:rFonts w:hint="eastAsia" w:cs="仿宋" w:asciiTheme="minorEastAsia" w:hAnsiTheme="minorEastAsia" w:eastAsiaTheme="minorEastAsia"/>
          <w:b/>
          <w:color w:val="000000"/>
          <w:sz w:val="21"/>
          <w:szCs w:val="21"/>
          <w:lang w:val="en-US" w:eastAsia="zh-CN"/>
        </w:rPr>
      </w:pPr>
      <w:r>
        <w:rPr>
          <w:rFonts w:hint="eastAsia" w:cs="仿宋" w:asciiTheme="minorEastAsia" w:hAnsiTheme="minorEastAsia" w:eastAsiaTheme="minorEastAsia"/>
          <w:b/>
          <w:color w:val="000000"/>
          <w:sz w:val="21"/>
          <w:szCs w:val="21"/>
          <w:lang w:val="en-US" w:eastAsia="zh-CN"/>
        </w:rPr>
        <w:t>本《风险揭示书》的提示事项仅为列举性质，未能详尽列明风险警示股票交易的所有风险，投资者在参与交易前，应当认真阅读有关法律法规、证券交易所和登记结算机构业务规则等相关规定，对其他可能存在的风险因素也应当有所了解和掌握，并确信自己已做好足够的风险评估与财务安排，避免因参与风险警示股票交易遭受难以承受的损失。</w:t>
      </w:r>
    </w:p>
    <w:p w14:paraId="53192226">
      <w:pPr>
        <w:pStyle w:val="9"/>
        <w:keepNext w:val="0"/>
        <w:keepLines w:val="0"/>
        <w:pageBreakBefore w:val="0"/>
        <w:widowControl w:val="0"/>
        <w:kinsoku/>
        <w:wordWrap/>
        <w:overflowPunct/>
        <w:topLinePunct w:val="0"/>
        <w:autoSpaceDE w:val="0"/>
        <w:autoSpaceDN w:val="0"/>
        <w:bidi w:val="0"/>
        <w:adjustRightInd w:val="0"/>
        <w:snapToGrid/>
        <w:spacing w:before="0" w:after="0" w:line="360" w:lineRule="exact"/>
        <w:ind w:firstLine="422" w:firstLineChars="200"/>
        <w:jc w:val="left"/>
        <w:textAlignment w:val="auto"/>
        <w:rPr>
          <w:rFonts w:hint="eastAsia" w:cs="仿宋" w:asciiTheme="minorEastAsia" w:hAnsiTheme="minorEastAsia" w:eastAsiaTheme="minorEastAsia"/>
          <w:b/>
          <w:color w:val="000000"/>
          <w:sz w:val="21"/>
          <w:szCs w:val="21"/>
          <w:lang w:val="en-US" w:eastAsia="zh-CN"/>
        </w:rPr>
      </w:pPr>
      <w:r>
        <w:rPr>
          <w:rFonts w:hint="eastAsia" w:cs="仿宋" w:asciiTheme="minorEastAsia" w:hAnsiTheme="minorEastAsia" w:eastAsiaTheme="minorEastAsia"/>
          <w:b/>
          <w:color w:val="000000"/>
          <w:sz w:val="21"/>
          <w:szCs w:val="21"/>
          <w:lang w:val="en-US" w:eastAsia="zh-CN"/>
        </w:rPr>
        <w:t>投资者在本《风险揭示书》上签字，即表明投资者已经理解并愿意自行承担参与风险警示股票交易的风险和损失。</w:t>
      </w:r>
    </w:p>
    <w:p w14:paraId="34386CB2">
      <w:pPr>
        <w:spacing w:line="440" w:lineRule="exact"/>
        <w:rPr>
          <w:rFonts w:hint="eastAsia" w:ascii="宋体" w:hAnsi="宋体"/>
          <w:b/>
          <w:szCs w:val="21"/>
        </w:rPr>
      </w:pPr>
    </w:p>
    <w:p w14:paraId="40F4578B">
      <w:pPr>
        <w:rPr>
          <w:rFonts w:hint="eastAsia"/>
        </w:rPr>
      </w:pPr>
      <w:bookmarkStart w:id="0" w:name="_GoBack"/>
      <w:bookmarkEnd w:id="0"/>
    </w:p>
    <w:sectPr>
      <w:headerReference r:id="rId3" w:type="default"/>
      <w:footerReference r:id="rId4" w:type="default"/>
      <w:pgSz w:w="11906" w:h="16838"/>
      <w:pgMar w:top="1440" w:right="1800" w:bottom="653"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383692"/>
      <w:docPartObj>
        <w:docPartGallery w:val="autotext"/>
      </w:docPartObj>
    </w:sdtPr>
    <w:sdtContent>
      <w:p w14:paraId="2CD75789">
        <w:pPr>
          <w:pStyle w:val="2"/>
          <w:jc w:val="center"/>
        </w:pPr>
        <w:r>
          <w:fldChar w:fldCharType="begin"/>
        </w:r>
        <w:r>
          <w:instrText xml:space="preserve"> PAGE   \* MERGEFORMAT </w:instrText>
        </w:r>
        <w:r>
          <w:fldChar w:fldCharType="separate"/>
        </w:r>
        <w:r>
          <w:rPr>
            <w:lang w:val="zh-CN"/>
          </w:rPr>
          <w:t>3</w:t>
        </w:r>
        <w:r>
          <w:rPr>
            <w:lang w:val="zh-CN"/>
          </w:rPr>
          <w:fldChar w:fldCharType="end"/>
        </w:r>
      </w:p>
    </w:sdtContent>
  </w:sdt>
  <w:p w14:paraId="09A8031D">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B5B42">
    <w:pPr>
      <w:pStyle w:val="3"/>
      <w:wordWrap w:val="0"/>
      <w:jc w:val="right"/>
    </w:pPr>
    <w:r>
      <w:rPr>
        <w:rFonts w:hint="eastAsia"/>
      </w:rPr>
      <w:t>附件</w:t>
    </w:r>
    <w:r>
      <w:rPr>
        <w:rFonts w:hint="eastAsia"/>
        <w:lang w:val="en-US" w:eastAsia="zh-CN"/>
      </w:rPr>
      <w:t>1</w:t>
    </w:r>
    <w:r>
      <w:rPr>
        <w:rFonts w:hint="eastAsia"/>
      </w:rPr>
      <w:t xml:space="preserve"> </w:t>
    </w:r>
    <w:r>
      <w:t xml:space="preserve">                                                          </w:t>
    </w:r>
    <w:r>
      <w:pict>
        <v:shape id="_x0000_i1025" o:spt="75" alt="东北证券标识01丽娜" type="#_x0000_t75" style="height:18pt;width:123.65pt;" filled="f" o:preferrelative="t" stroked="f" coordsize="21600,21600">
          <v:path/>
          <v:fill on="f" focussize="0,0"/>
          <v:stroke on="f" joinstyle="miter"/>
          <v:imagedata r:id="rId1" o:title=""/>
          <o:lock v:ext="edit" aspectratio="t"/>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01E23"/>
    <w:rsid w:val="00004661"/>
    <w:rsid w:val="000D224A"/>
    <w:rsid w:val="000E0C2B"/>
    <w:rsid w:val="001340F1"/>
    <w:rsid w:val="00215F5E"/>
    <w:rsid w:val="00346F53"/>
    <w:rsid w:val="00346F56"/>
    <w:rsid w:val="003E7243"/>
    <w:rsid w:val="004E6C6A"/>
    <w:rsid w:val="00501E23"/>
    <w:rsid w:val="005539A4"/>
    <w:rsid w:val="00581EDA"/>
    <w:rsid w:val="006A02B4"/>
    <w:rsid w:val="007A6396"/>
    <w:rsid w:val="008B2993"/>
    <w:rsid w:val="008D0B2B"/>
    <w:rsid w:val="00936423"/>
    <w:rsid w:val="009469AD"/>
    <w:rsid w:val="00946B11"/>
    <w:rsid w:val="00997D9E"/>
    <w:rsid w:val="00B478CB"/>
    <w:rsid w:val="00BC2F0F"/>
    <w:rsid w:val="00C7291F"/>
    <w:rsid w:val="00CC2F84"/>
    <w:rsid w:val="00D06092"/>
    <w:rsid w:val="00D27FB0"/>
    <w:rsid w:val="00D430A5"/>
    <w:rsid w:val="00DB2325"/>
    <w:rsid w:val="00DC4A8C"/>
    <w:rsid w:val="00DC52E8"/>
    <w:rsid w:val="00E232B6"/>
    <w:rsid w:val="00E9344B"/>
    <w:rsid w:val="00EA4A70"/>
    <w:rsid w:val="00F423AD"/>
    <w:rsid w:val="060F2843"/>
    <w:rsid w:val="08365E65"/>
    <w:rsid w:val="0F9E7382"/>
    <w:rsid w:val="152758E3"/>
    <w:rsid w:val="16BB3A7D"/>
    <w:rsid w:val="19167498"/>
    <w:rsid w:val="1A6B06D4"/>
    <w:rsid w:val="1DC77B48"/>
    <w:rsid w:val="22B3482A"/>
    <w:rsid w:val="25FF3983"/>
    <w:rsid w:val="262542AA"/>
    <w:rsid w:val="2A6C5F55"/>
    <w:rsid w:val="2B7D7783"/>
    <w:rsid w:val="2DF6381D"/>
    <w:rsid w:val="2E6F092A"/>
    <w:rsid w:val="3AC35FBB"/>
    <w:rsid w:val="3ED068D5"/>
    <w:rsid w:val="430215C4"/>
    <w:rsid w:val="44EA2CCE"/>
    <w:rsid w:val="474B300D"/>
    <w:rsid w:val="4CAE4757"/>
    <w:rsid w:val="596E5D1D"/>
    <w:rsid w:val="5B0942E0"/>
    <w:rsid w:val="607B5C80"/>
    <w:rsid w:val="6E775F23"/>
    <w:rsid w:val="71EB1743"/>
    <w:rsid w:val="77BE2A08"/>
    <w:rsid w:val="78853854"/>
    <w:rsid w:val="7F532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customStyle="1" w:styleId="9">
    <w:name w:val="Normal_0"/>
    <w:qFormat/>
    <w:uiPriority w:val="0"/>
    <w:pPr>
      <w:spacing w:before="120" w:after="240"/>
      <w:jc w:val="both"/>
    </w:pPr>
    <w:rPr>
      <w:rFonts w:ascii="Calibri" w:hAnsi="Calibri" w:eastAsia="Calibri" w:cs="Times New Roman"/>
      <w:kern w:val="0"/>
      <w:sz w:val="22"/>
      <w:szCs w:val="22"/>
      <w:lang w:val="ru-RU" w:eastAsia="en-US" w:bidi="ar-SA"/>
    </w:rPr>
  </w:style>
  <w:style w:type="paragraph" w:customStyle="1" w:styleId="10">
    <w:name w:val="Normal_1"/>
    <w:qFormat/>
    <w:uiPriority w:val="0"/>
    <w:pPr>
      <w:spacing w:before="120" w:after="240"/>
      <w:jc w:val="both"/>
    </w:pPr>
    <w:rPr>
      <w:rFonts w:ascii="Calibri" w:hAnsi="Calibri" w:eastAsia="Calibri" w:cs="Times New Roman"/>
      <w:kern w:val="0"/>
      <w:sz w:val="22"/>
      <w:szCs w:val="22"/>
      <w:lang w:val="ru-RU"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2682</Words>
  <Characters>2693</Characters>
  <Lines>15</Lines>
  <Paragraphs>4</Paragraphs>
  <TotalTime>0</TotalTime>
  <ScaleCrop>false</ScaleCrop>
  <LinksUpToDate>false</LinksUpToDate>
  <CharactersWithSpaces>2710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2019-11-08T01:22:00Z</dcterms:created>
  <dc:creator>王博</dc:creator>
  <cp:lastModifiedBy>徐秀红</cp:lastModifiedBy>
  <dcterms:modified xsi:type="dcterms:W3CDTF">2026-07-01T07:37:24Z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0F668102558E4076BF6BD5B485E9AB1C</vt:lpwstr>
  </property>
  <property fmtid="{D5CDD505-2E9C-101B-9397-08002B2CF9AE}" pid="4" name="KSOTemplateDocerSaveRecord">
    <vt:lpwstr>eyJoZGlkIjoiMThmNTU2ZTYxMmIzYzAzOWRjODUyOGJjYjMyNjAwYTAiLCJ1c2VySWQiOiIxNjYwNjIxMjg3In0=</vt:lpwstr>
  </property>
</Properties>
</file>