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F67E6">
      <w:pPr>
        <w:widowControl/>
        <w:adjustRightInd w:val="0"/>
        <w:spacing w:line="380" w:lineRule="exact"/>
        <w:jc w:val="left"/>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附件1</w:t>
      </w:r>
      <w:bookmarkStart w:id="0" w:name="_GoBack"/>
      <w:bookmarkEnd w:id="0"/>
    </w:p>
    <w:p w14:paraId="4CFEC499">
      <w:pPr>
        <w:spacing w:before="60" w:after="60" w:line="360" w:lineRule="exact"/>
        <w:jc w:val="center"/>
        <w:rPr>
          <w:rFonts w:hint="eastAsia"/>
          <w:b/>
          <w:sz w:val="24"/>
          <w:szCs w:val="24"/>
        </w:rPr>
      </w:pPr>
    </w:p>
    <w:p w14:paraId="79F247B5">
      <w:pPr>
        <w:spacing w:before="60" w:after="60" w:line="360" w:lineRule="exact"/>
        <w:jc w:val="center"/>
        <w:rPr>
          <w:b/>
          <w:sz w:val="24"/>
          <w:szCs w:val="24"/>
        </w:rPr>
      </w:pPr>
      <w:r>
        <w:rPr>
          <w:rFonts w:hint="eastAsia"/>
          <w:b/>
          <w:sz w:val="24"/>
          <w:szCs w:val="24"/>
        </w:rPr>
        <w:t>东北证券股份有限公司科创板股票交易风险揭示书</w:t>
      </w:r>
    </w:p>
    <w:p w14:paraId="5333931F">
      <w:pPr>
        <w:spacing w:line="320" w:lineRule="exact"/>
        <w:rPr>
          <w:sz w:val="18"/>
          <w:szCs w:val="18"/>
        </w:rPr>
      </w:pPr>
      <w:r>
        <w:rPr>
          <w:rFonts w:hint="eastAsia"/>
          <w:sz w:val="18"/>
          <w:szCs w:val="18"/>
        </w:rPr>
        <w:t>尊敬的投资者：</w:t>
      </w:r>
    </w:p>
    <w:p w14:paraId="029A1BCC">
      <w:pPr>
        <w:spacing w:line="320" w:lineRule="exact"/>
        <w:ind w:firstLine="360" w:firstLineChars="200"/>
        <w:rPr>
          <w:rFonts w:hint="eastAsia" w:ascii="Calibri" w:hAnsi="Calibri" w:eastAsia="宋体" w:cs="Times New Roman"/>
          <w:sz w:val="18"/>
          <w:szCs w:val="18"/>
          <w:lang w:eastAsia="zh-CN"/>
        </w:rPr>
      </w:pPr>
      <w:r>
        <w:rPr>
          <w:rFonts w:hint="eastAsia"/>
          <w:sz w:val="18"/>
          <w:szCs w:val="18"/>
        </w:rPr>
        <w:t>为了使</w:t>
      </w:r>
      <w:r>
        <w:rPr>
          <w:rFonts w:hint="eastAsia"/>
          <w:sz w:val="18"/>
          <w:szCs w:val="18"/>
          <w:lang w:val="en-US" w:eastAsia="zh-CN"/>
        </w:rPr>
        <w:t>您</w:t>
      </w:r>
      <w:r>
        <w:rPr>
          <w:rFonts w:hint="eastAsia"/>
          <w:sz w:val="18"/>
          <w:szCs w:val="18"/>
        </w:rPr>
        <w:t>充分了解上海证券交易所（以下简称上交所）全面实行股票发行注册制后科创板股票或存托凭证（以下统称科创板股票）交易（含发行申购）的相关风险，</w:t>
      </w:r>
      <w:r>
        <w:rPr>
          <w:rFonts w:hint="eastAsia" w:eastAsia="宋体"/>
          <w:sz w:val="18"/>
          <w:szCs w:val="18"/>
          <w:lang w:val="en-US" w:eastAsia="zh-CN"/>
        </w:rPr>
        <w:t>请您</w:t>
      </w:r>
      <w:r>
        <w:rPr>
          <w:rFonts w:hint="eastAsia" w:ascii="Calibri" w:hAnsi="Calibri" w:eastAsia="宋体" w:cs="Times New Roman"/>
          <w:sz w:val="18"/>
          <w:szCs w:val="18"/>
          <w:lang w:eastAsia="zh-CN"/>
        </w:rPr>
        <w:t>认真阅读《东北证券股份有限公司科创板股票交易风险揭示书》（以下简称《风险揭示书》），慎重决定是否参与。</w:t>
      </w:r>
    </w:p>
    <w:p w14:paraId="261C9596">
      <w:pPr>
        <w:spacing w:line="320" w:lineRule="exact"/>
        <w:ind w:firstLine="360" w:firstLineChars="200"/>
        <w:rPr>
          <w:rFonts w:hint="eastAsia" w:ascii="Calibri" w:hAnsi="Calibri" w:eastAsia="宋体" w:cs="Times New Roman"/>
          <w:sz w:val="18"/>
          <w:szCs w:val="18"/>
          <w:lang w:eastAsia="zh-CN"/>
        </w:rPr>
      </w:pPr>
      <w:r>
        <w:rPr>
          <w:rFonts w:hint="eastAsia" w:ascii="Calibri" w:hAnsi="Calibri" w:eastAsia="宋体" w:cs="Times New Roman"/>
          <w:sz w:val="18"/>
          <w:szCs w:val="18"/>
          <w:lang w:eastAsia="zh-CN"/>
        </w:rPr>
        <w:t>一、投资者在参与科创板股票投资前，应当充分知悉科创板股票发行、上市、交易、持续监管等相关制度安排，深入了解相关上市公司基本面情况，并根据自身财务状况、风险承受能力等，审慎考虑是否申购、交易科创板股票。</w:t>
      </w:r>
    </w:p>
    <w:p w14:paraId="3E3B81C7">
      <w:pPr>
        <w:spacing w:line="320" w:lineRule="exact"/>
        <w:ind w:firstLine="360" w:firstLineChars="200"/>
        <w:rPr>
          <w:rFonts w:hint="eastAsia"/>
          <w:sz w:val="18"/>
          <w:szCs w:val="18"/>
        </w:rPr>
      </w:pPr>
      <w:r>
        <w:rPr>
          <w:rFonts w:hint="eastAsia"/>
          <w:sz w:val="18"/>
          <w:szCs w:val="18"/>
          <w:lang w:val="en-US" w:eastAsia="zh-CN"/>
        </w:rPr>
        <w:t>二</w:t>
      </w:r>
      <w:r>
        <w:rPr>
          <w:rFonts w:hint="eastAsia"/>
          <w:sz w:val="18"/>
          <w:szCs w:val="18"/>
        </w:rPr>
        <w:t>、科创板企业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14:paraId="10F8D074">
      <w:pPr>
        <w:spacing w:line="320" w:lineRule="exact"/>
        <w:ind w:firstLine="360" w:firstLineChars="200"/>
        <w:rPr>
          <w:rFonts w:hint="eastAsia"/>
          <w:sz w:val="18"/>
          <w:szCs w:val="18"/>
        </w:rPr>
      </w:pPr>
      <w:r>
        <w:rPr>
          <w:rFonts w:hint="eastAsia"/>
          <w:sz w:val="18"/>
          <w:szCs w:val="18"/>
          <w:lang w:val="en-US" w:eastAsia="zh-CN"/>
        </w:rPr>
        <w:t>三</w:t>
      </w:r>
      <w:r>
        <w:rPr>
          <w:rFonts w:hint="eastAsia"/>
          <w:sz w:val="18"/>
          <w:szCs w:val="18"/>
        </w:rPr>
        <w:t>、科创板企业可能存在首次公开发行前最近3个会计年度未能连续盈利、公开发行并上市时尚未盈利、有累计未弥补亏损等情形，可能存在上市后仍无法盈利、持续亏损、无法进行利润分配等情形。</w:t>
      </w:r>
    </w:p>
    <w:p w14:paraId="02485D6E">
      <w:pPr>
        <w:spacing w:line="320" w:lineRule="exact"/>
        <w:ind w:firstLine="360" w:firstLineChars="200"/>
        <w:rPr>
          <w:rFonts w:hint="eastAsia"/>
          <w:sz w:val="18"/>
          <w:szCs w:val="18"/>
        </w:rPr>
      </w:pPr>
      <w:r>
        <w:rPr>
          <w:rFonts w:hint="eastAsia"/>
          <w:sz w:val="18"/>
          <w:szCs w:val="18"/>
          <w:lang w:val="en-US" w:eastAsia="zh-CN"/>
        </w:rPr>
        <w:t>四</w:t>
      </w:r>
      <w:r>
        <w:rPr>
          <w:rFonts w:hint="eastAsia"/>
          <w:sz w:val="18"/>
          <w:szCs w:val="18"/>
        </w:rPr>
        <w:t>、科创板新股发行价格、规模、节奏等坚持市场化导向，可能采用直接定价或者询价定价方式发行。采用询价定价方式的，询价对象限定在证券公司等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62806ADE">
      <w:pPr>
        <w:spacing w:line="320" w:lineRule="exact"/>
        <w:ind w:firstLine="360" w:firstLineChars="200"/>
        <w:rPr>
          <w:rFonts w:hint="eastAsia"/>
          <w:sz w:val="18"/>
          <w:szCs w:val="18"/>
        </w:rPr>
      </w:pPr>
      <w:r>
        <w:rPr>
          <w:rFonts w:hint="eastAsia"/>
          <w:sz w:val="18"/>
          <w:szCs w:val="18"/>
          <w:lang w:val="en-US" w:eastAsia="zh-CN"/>
        </w:rPr>
        <w:t>五</w:t>
      </w:r>
      <w:r>
        <w:rPr>
          <w:rFonts w:hint="eastAsia"/>
          <w:sz w:val="18"/>
          <w:szCs w:val="18"/>
        </w:rPr>
        <w:t>、科创板新股发行采用询价方式的，初步询价结束后，科创板发行人预计发行后总市值不满足其在招股说明书中明确选择的市值与财务指标上市标准的，将按规定中止发行。</w:t>
      </w:r>
    </w:p>
    <w:p w14:paraId="150CDD2E">
      <w:pPr>
        <w:spacing w:line="320" w:lineRule="exact"/>
        <w:ind w:firstLine="360" w:firstLineChars="200"/>
        <w:rPr>
          <w:rFonts w:hint="eastAsia"/>
          <w:sz w:val="18"/>
          <w:szCs w:val="18"/>
        </w:rPr>
      </w:pPr>
      <w:r>
        <w:rPr>
          <w:rFonts w:hint="eastAsia"/>
          <w:sz w:val="18"/>
          <w:szCs w:val="18"/>
          <w:lang w:val="en-US" w:eastAsia="zh-CN"/>
        </w:rPr>
        <w:t>六</w:t>
      </w:r>
      <w:r>
        <w:rPr>
          <w:rFonts w:hint="eastAsia"/>
          <w:sz w:val="18"/>
          <w:szCs w:val="18"/>
        </w:rPr>
        <w:t xml:space="preserve">、根据首次公开发行科创板股票发行后总股本差异、是否为未盈利企业，网上初始发行比例可能有所差别；根据网上投资者有效申购倍数差异，可能存在不同的网下向网上回拨比例。科创板股票网上发行比例、网下向网上回拨比例与上交所主板股票发行规则存在差异，投资者应当关注。 </w:t>
      </w:r>
    </w:p>
    <w:p w14:paraId="24BDCFB6">
      <w:pPr>
        <w:spacing w:line="320" w:lineRule="exact"/>
        <w:ind w:firstLine="360" w:firstLineChars="200"/>
        <w:rPr>
          <w:rFonts w:hint="eastAsia"/>
          <w:sz w:val="18"/>
          <w:szCs w:val="18"/>
        </w:rPr>
      </w:pPr>
      <w:r>
        <w:rPr>
          <w:rFonts w:hint="eastAsia"/>
          <w:sz w:val="18"/>
          <w:szCs w:val="18"/>
          <w:lang w:val="en-US" w:eastAsia="zh-CN"/>
        </w:rPr>
        <w:t>七</w:t>
      </w:r>
      <w:r>
        <w:rPr>
          <w:rFonts w:hint="eastAsia"/>
          <w:sz w:val="18"/>
          <w:szCs w:val="18"/>
        </w:rPr>
        <w:t>、首次公开发行股票时，发行人和主承销商可以采用超额配售选择权，即存在发行人增发股票的可能性。</w:t>
      </w:r>
    </w:p>
    <w:p w14:paraId="307F0029">
      <w:pPr>
        <w:spacing w:line="320" w:lineRule="exact"/>
        <w:ind w:firstLine="360" w:firstLineChars="200"/>
        <w:rPr>
          <w:rFonts w:hint="eastAsia"/>
          <w:sz w:val="18"/>
          <w:szCs w:val="18"/>
        </w:rPr>
      </w:pPr>
      <w:r>
        <w:rPr>
          <w:rFonts w:hint="eastAsia"/>
          <w:sz w:val="18"/>
          <w:szCs w:val="18"/>
          <w:lang w:val="en-US" w:eastAsia="zh-CN"/>
        </w:rPr>
        <w:t>八</w:t>
      </w:r>
      <w:r>
        <w:rPr>
          <w:rFonts w:hint="eastAsia"/>
          <w:sz w:val="18"/>
          <w:szCs w:val="18"/>
        </w:rPr>
        <w:t>、科创板股票可能主动终止上市，也可能因触及退市情形被终止上市。被实施退市风险警示或其他风险警示的科创板股票，存在投资者当日通过竞价交易、大宗交易和盘后固定价格交易累计买入的单只股票数量不超过50万股的限制。主动终止上市或因触及交易类情形被终止上市的，不进入退市整理期，直接予以摘牌；因触及重大违法类、财务类或者规范类情形被终止上市的，进入退市整理期交易15个交易日后予以摘牌。投资者应当充分了解相关规定，密切关注退市风险。</w:t>
      </w:r>
    </w:p>
    <w:p w14:paraId="43D58980">
      <w:pPr>
        <w:spacing w:line="320" w:lineRule="exact"/>
        <w:ind w:firstLine="360" w:firstLineChars="200"/>
        <w:rPr>
          <w:rFonts w:hint="eastAsia"/>
          <w:sz w:val="18"/>
          <w:szCs w:val="18"/>
        </w:rPr>
      </w:pPr>
      <w:r>
        <w:rPr>
          <w:rFonts w:hint="eastAsia"/>
          <w:sz w:val="18"/>
          <w:szCs w:val="18"/>
          <w:lang w:val="en-US" w:eastAsia="zh-CN"/>
        </w:rPr>
        <w:t>九</w:t>
      </w:r>
      <w:r>
        <w:rPr>
          <w:rFonts w:hint="eastAsia"/>
          <w:sz w:val="18"/>
          <w:szCs w:val="18"/>
        </w:rPr>
        <w:t>、科创板制度允许上市公司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14:paraId="0D70F948">
      <w:pPr>
        <w:spacing w:line="320" w:lineRule="exact"/>
        <w:ind w:firstLine="360" w:firstLineChars="200"/>
        <w:rPr>
          <w:rFonts w:hint="eastAsia"/>
          <w:sz w:val="18"/>
          <w:szCs w:val="18"/>
        </w:rPr>
      </w:pPr>
      <w:r>
        <w:rPr>
          <w:rFonts w:hint="eastAsia"/>
          <w:sz w:val="18"/>
          <w:szCs w:val="18"/>
          <w:lang w:val="en-US" w:eastAsia="zh-CN"/>
        </w:rPr>
        <w:t>十</w:t>
      </w:r>
      <w:r>
        <w:rPr>
          <w:rFonts w:hint="eastAsia"/>
          <w:sz w:val="18"/>
          <w:szCs w:val="18"/>
        </w:rPr>
        <w:t>、出现《上海证券交易所科创板股票上市规则》以及上市公司章程规定的情形时，特别表决权股份将按1:1的比例转换为普通股份。股份转换自相关情形发生时即生效，并可能与相关股份转换登记时点存在差异。投资者需及时关注上市公司相关公告，以了解特别表决权股份变动事宜。</w:t>
      </w:r>
    </w:p>
    <w:p w14:paraId="3EAE7A26">
      <w:pPr>
        <w:spacing w:line="320" w:lineRule="exact"/>
        <w:ind w:firstLine="360" w:firstLineChars="200"/>
        <w:rPr>
          <w:rFonts w:hint="eastAsia"/>
          <w:sz w:val="18"/>
          <w:szCs w:val="18"/>
        </w:rPr>
      </w:pPr>
      <w:r>
        <w:rPr>
          <w:rFonts w:hint="eastAsia"/>
          <w:sz w:val="18"/>
          <w:szCs w:val="18"/>
        </w:rPr>
        <w:t>十</w:t>
      </w:r>
      <w:r>
        <w:rPr>
          <w:rFonts w:hint="eastAsia"/>
          <w:sz w:val="18"/>
          <w:szCs w:val="18"/>
          <w:lang w:val="en-US" w:eastAsia="zh-CN"/>
        </w:rPr>
        <w:t>一</w:t>
      </w:r>
      <w:r>
        <w:rPr>
          <w:rFonts w:hint="eastAsia"/>
          <w:sz w:val="18"/>
          <w:szCs w:val="18"/>
        </w:rPr>
        <w:t>、相对于主板上市公司，科创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14:paraId="6CF2C8C8">
      <w:pPr>
        <w:spacing w:line="320" w:lineRule="exact"/>
        <w:ind w:firstLine="360" w:firstLineChars="200"/>
        <w:rPr>
          <w:rFonts w:hint="eastAsia"/>
          <w:sz w:val="18"/>
          <w:szCs w:val="18"/>
        </w:rPr>
      </w:pPr>
      <w:r>
        <w:rPr>
          <w:rFonts w:hint="eastAsia"/>
          <w:sz w:val="18"/>
          <w:szCs w:val="18"/>
        </w:rPr>
        <w:t>十</w:t>
      </w:r>
      <w:r>
        <w:rPr>
          <w:rFonts w:hint="eastAsia"/>
          <w:sz w:val="18"/>
          <w:szCs w:val="18"/>
          <w:lang w:val="en-US" w:eastAsia="zh-CN"/>
        </w:rPr>
        <w:t>二</w:t>
      </w:r>
      <w:r>
        <w:rPr>
          <w:rFonts w:hint="eastAsia"/>
          <w:sz w:val="18"/>
          <w:szCs w:val="18"/>
        </w:rPr>
        <w:t>、科创板股票竞价交易的价格涨跌幅限制比例为20%，但在首次公开发行上市后的前5个交易日、进入退市整理期的首日以及上交所认定的其他情形下不实行涨跌幅限制，投资者应当关注可能产生的股价波动的风险。</w:t>
      </w:r>
    </w:p>
    <w:p w14:paraId="61886FF1">
      <w:pPr>
        <w:spacing w:line="320" w:lineRule="exact"/>
        <w:ind w:firstLine="360" w:firstLineChars="200"/>
        <w:rPr>
          <w:rFonts w:hint="eastAsia"/>
          <w:sz w:val="18"/>
          <w:szCs w:val="18"/>
        </w:rPr>
      </w:pPr>
      <w:r>
        <w:rPr>
          <w:rFonts w:hint="eastAsia"/>
          <w:sz w:val="18"/>
          <w:szCs w:val="18"/>
        </w:rPr>
        <w:t>十</w:t>
      </w:r>
      <w:r>
        <w:rPr>
          <w:rFonts w:hint="eastAsia"/>
          <w:sz w:val="18"/>
          <w:szCs w:val="18"/>
          <w:lang w:val="en-US" w:eastAsia="zh-CN"/>
        </w:rPr>
        <w:t>三</w:t>
      </w:r>
      <w:r>
        <w:rPr>
          <w:rFonts w:hint="eastAsia"/>
          <w:sz w:val="18"/>
          <w:szCs w:val="18"/>
        </w:rPr>
        <w:t>、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129A885E">
      <w:pPr>
        <w:spacing w:line="320" w:lineRule="exact"/>
        <w:ind w:firstLine="360" w:firstLineChars="200"/>
        <w:rPr>
          <w:rFonts w:hint="eastAsia"/>
          <w:sz w:val="18"/>
          <w:szCs w:val="18"/>
        </w:rPr>
      </w:pPr>
      <w:r>
        <w:rPr>
          <w:rFonts w:hint="eastAsia"/>
          <w:sz w:val="18"/>
          <w:szCs w:val="18"/>
        </w:rPr>
        <w:t>十</w:t>
      </w:r>
      <w:r>
        <w:rPr>
          <w:rFonts w:hint="eastAsia"/>
          <w:sz w:val="18"/>
          <w:szCs w:val="18"/>
          <w:lang w:val="en-US" w:eastAsia="zh-CN"/>
        </w:rPr>
        <w:t>四</w:t>
      </w:r>
      <w:r>
        <w:rPr>
          <w:rFonts w:hint="eastAsia"/>
          <w:sz w:val="18"/>
          <w:szCs w:val="18"/>
        </w:rPr>
        <w:t>、科创板股票交易可以实行做市商机制，做市商可以为科创板股票提供双边报价服务，请投资者及时关注相关事项。</w:t>
      </w:r>
    </w:p>
    <w:p w14:paraId="657C403C">
      <w:pPr>
        <w:spacing w:line="320" w:lineRule="exact"/>
        <w:ind w:firstLine="360" w:firstLineChars="200"/>
        <w:rPr>
          <w:rFonts w:hint="eastAsia"/>
          <w:sz w:val="18"/>
          <w:szCs w:val="18"/>
        </w:rPr>
      </w:pPr>
      <w:r>
        <w:rPr>
          <w:rFonts w:hint="eastAsia"/>
          <w:sz w:val="18"/>
          <w:szCs w:val="18"/>
        </w:rPr>
        <w:t>十</w:t>
      </w:r>
      <w:r>
        <w:rPr>
          <w:rFonts w:hint="eastAsia"/>
          <w:sz w:val="18"/>
          <w:szCs w:val="18"/>
          <w:lang w:val="en-US" w:eastAsia="zh-CN"/>
        </w:rPr>
        <w:t>五</w:t>
      </w:r>
      <w:r>
        <w:rPr>
          <w:rFonts w:hint="eastAsia"/>
          <w:sz w:val="18"/>
          <w:szCs w:val="18"/>
        </w:rPr>
        <w:t>、投资者需关注科创板股票交易的单笔申报数量、有效申报价格范围等与上交所主板市场股票交易存在差异，避免产生无效申报。</w:t>
      </w:r>
    </w:p>
    <w:p w14:paraId="6921C151">
      <w:pPr>
        <w:spacing w:line="320" w:lineRule="exact"/>
        <w:ind w:firstLine="360" w:firstLineChars="200"/>
        <w:rPr>
          <w:rFonts w:hint="eastAsia"/>
          <w:sz w:val="18"/>
          <w:szCs w:val="18"/>
        </w:rPr>
      </w:pPr>
      <w:r>
        <w:rPr>
          <w:rFonts w:hint="eastAsia"/>
          <w:sz w:val="18"/>
          <w:szCs w:val="18"/>
        </w:rPr>
        <w:t>十</w:t>
      </w:r>
      <w:r>
        <w:rPr>
          <w:rFonts w:hint="eastAsia"/>
          <w:sz w:val="18"/>
          <w:szCs w:val="18"/>
          <w:lang w:val="en-US" w:eastAsia="zh-CN"/>
        </w:rPr>
        <w:t>六</w:t>
      </w:r>
      <w:r>
        <w:rPr>
          <w:rFonts w:hint="eastAsia"/>
          <w:sz w:val="18"/>
          <w:szCs w:val="18"/>
        </w:rPr>
        <w:t>、投资者需关注科创板股票交易方式包括竞价交易、盘后固定价格交易及大宗交易，不同交易方式的交易时间、申报要求、成交原则等存在差异。科创板股票大宗交易</w:t>
      </w:r>
      <w:r>
        <w:rPr>
          <w:rFonts w:hint="eastAsia"/>
          <w:sz w:val="18"/>
          <w:szCs w:val="18"/>
          <w:lang w:val="en-US" w:eastAsia="zh-CN"/>
        </w:rPr>
        <w:t>成交申报确认时间与</w:t>
      </w:r>
      <w:r>
        <w:rPr>
          <w:rFonts w:hint="eastAsia"/>
          <w:sz w:val="18"/>
          <w:szCs w:val="18"/>
        </w:rPr>
        <w:t>上交所主板股票</w:t>
      </w:r>
      <w:r>
        <w:rPr>
          <w:rFonts w:hint="eastAsia"/>
          <w:sz w:val="18"/>
          <w:szCs w:val="18"/>
          <w:lang w:val="en-US" w:eastAsia="zh-CN"/>
        </w:rPr>
        <w:t>存在差异，投资者应当关注</w:t>
      </w:r>
      <w:r>
        <w:rPr>
          <w:rFonts w:hint="eastAsia"/>
          <w:sz w:val="18"/>
          <w:szCs w:val="18"/>
        </w:rPr>
        <w:t>。</w:t>
      </w:r>
    </w:p>
    <w:p w14:paraId="375820F9">
      <w:pPr>
        <w:spacing w:line="320" w:lineRule="exact"/>
        <w:ind w:firstLine="360" w:firstLineChars="200"/>
        <w:rPr>
          <w:rFonts w:hint="eastAsia"/>
          <w:sz w:val="18"/>
          <w:szCs w:val="18"/>
        </w:rPr>
      </w:pPr>
      <w:r>
        <w:rPr>
          <w:rFonts w:hint="eastAsia"/>
          <w:sz w:val="18"/>
          <w:szCs w:val="18"/>
          <w:lang w:val="en-US" w:eastAsia="zh-CN"/>
        </w:rPr>
        <w:t>十七</w:t>
      </w:r>
      <w:r>
        <w:rPr>
          <w:rFonts w:hint="eastAsia"/>
          <w:sz w:val="18"/>
          <w:szCs w:val="18"/>
        </w:rPr>
        <w:t>、科创板股票上市首日即可作为融资融券标的，</w:t>
      </w:r>
      <w:r>
        <w:rPr>
          <w:rFonts w:hint="eastAsia"/>
          <w:sz w:val="18"/>
          <w:szCs w:val="18"/>
          <w:lang w:val="en-US" w:eastAsia="zh-CN"/>
        </w:rPr>
        <w:t>若投资者通过信用账户进行科创板交易，还将面临融资融券交易的特有风险，如杠杆交易风险、担保券或标的券范围调整风险、公允价值调整风险、持仓集中度风险、违约处置风险等，以上仅为列举，</w:t>
      </w:r>
      <w:r>
        <w:rPr>
          <w:rFonts w:hint="eastAsia"/>
          <w:sz w:val="18"/>
          <w:szCs w:val="18"/>
        </w:rPr>
        <w:t>投资者应注意</w:t>
      </w:r>
      <w:r>
        <w:rPr>
          <w:rFonts w:hint="eastAsia"/>
          <w:sz w:val="18"/>
          <w:szCs w:val="18"/>
          <w:lang w:val="en-US" w:eastAsia="zh-CN"/>
        </w:rPr>
        <w:t>融资融券交易科创板证券的所有</w:t>
      </w:r>
      <w:r>
        <w:rPr>
          <w:rFonts w:hint="eastAsia"/>
          <w:sz w:val="18"/>
          <w:szCs w:val="18"/>
        </w:rPr>
        <w:t>风险。</w:t>
      </w:r>
    </w:p>
    <w:p w14:paraId="28CF07B9">
      <w:pPr>
        <w:spacing w:line="320" w:lineRule="exact"/>
        <w:ind w:firstLine="360" w:firstLineChars="200"/>
        <w:rPr>
          <w:rFonts w:hint="eastAsia"/>
          <w:sz w:val="18"/>
          <w:szCs w:val="18"/>
        </w:rPr>
      </w:pPr>
      <w:r>
        <w:rPr>
          <w:rFonts w:hint="eastAsia"/>
          <w:sz w:val="18"/>
          <w:szCs w:val="18"/>
          <w:lang w:val="en-US" w:eastAsia="zh-CN"/>
        </w:rPr>
        <w:t>十八</w:t>
      </w:r>
      <w:r>
        <w:rPr>
          <w:rFonts w:hint="eastAsia"/>
          <w:sz w:val="18"/>
          <w:szCs w:val="18"/>
        </w:rPr>
        <w:t>、科创板股票的交易公开信息披露指标及异常波动情形、严重异常波动情形披露指标与上交所主板市场规定不同，投资者应当关注与此相关的风险。</w:t>
      </w:r>
    </w:p>
    <w:p w14:paraId="4951EE04">
      <w:pPr>
        <w:spacing w:line="320" w:lineRule="exact"/>
        <w:ind w:firstLine="360" w:firstLineChars="200"/>
        <w:rPr>
          <w:rFonts w:hint="eastAsia"/>
          <w:sz w:val="18"/>
          <w:szCs w:val="18"/>
        </w:rPr>
      </w:pPr>
      <w:r>
        <w:rPr>
          <w:rFonts w:hint="eastAsia"/>
          <w:sz w:val="18"/>
          <w:szCs w:val="18"/>
          <w:lang w:val="en-US" w:eastAsia="zh-CN"/>
        </w:rPr>
        <w:t>十九</w:t>
      </w:r>
      <w:r>
        <w:rPr>
          <w:rFonts w:hint="eastAsia"/>
          <w:sz w:val="18"/>
          <w:szCs w:val="18"/>
        </w:rPr>
        <w:t>、符合相关规定的红筹企业可以在科创板上市。红筹企业在境外注册，可能采用协议控制架构，在上市标准、信息披露、分红派息、退市标准等方面可能与境内上市公司存在差异。红筹企业注册地、境外上市地等地法律法规对当地投资者提供的保护,可能与境内法律为境内投资者提供的保护存在差异。</w:t>
      </w:r>
    </w:p>
    <w:p w14:paraId="54804AD9">
      <w:pPr>
        <w:spacing w:line="320" w:lineRule="exact"/>
        <w:ind w:firstLine="360" w:firstLineChars="200"/>
        <w:rPr>
          <w:rFonts w:hint="eastAsia"/>
          <w:sz w:val="18"/>
          <w:szCs w:val="18"/>
        </w:rPr>
      </w:pPr>
      <w:r>
        <w:rPr>
          <w:rFonts w:hint="eastAsia"/>
          <w:sz w:val="18"/>
          <w:szCs w:val="18"/>
          <w:lang w:val="en-US" w:eastAsia="zh-CN"/>
        </w:rPr>
        <w:t>二十</w:t>
      </w:r>
      <w:r>
        <w:rPr>
          <w:rFonts w:hint="eastAsia"/>
          <w:sz w:val="18"/>
          <w:szCs w:val="18"/>
        </w:rPr>
        <w:t>、红筹企业可以发行股票或存托凭证在科创板上市。存托凭证由存托人签发、以境外证券为基础在中国境内发行,代表境外基础证券权益。红筹企业存托凭证持有人实际享有的权益与境外基础证券持有人的权益虽然基本相当,但并不能等同于直接持有境外基础证券。投资者应当充分知悉存托协议和相关规则的具体内容，关注交易和持有红筹企业股票或存托凭证过程中可能存在的风险。</w:t>
      </w:r>
    </w:p>
    <w:p w14:paraId="78E979BA">
      <w:pPr>
        <w:spacing w:line="320" w:lineRule="exact"/>
        <w:ind w:firstLine="360" w:firstLineChars="200"/>
        <w:rPr>
          <w:rFonts w:hint="eastAsia"/>
          <w:sz w:val="18"/>
          <w:szCs w:val="18"/>
          <w:lang w:val="en-US" w:eastAsia="zh-CN"/>
        </w:rPr>
      </w:pPr>
      <w:r>
        <w:rPr>
          <w:rFonts w:hint="eastAsia"/>
          <w:sz w:val="18"/>
          <w:szCs w:val="18"/>
          <w:lang w:val="en-US" w:eastAsia="zh-CN"/>
        </w:rPr>
        <w:t>二十一、科创板股票相关法律、行政法规、部门规章、规范性文件（以下简称法律法规）和交易所业务规则，可能根据市场情况进行修改，或者制定新的法律法规和业务规则，投资者应当及时予以关注和了解。</w:t>
      </w:r>
    </w:p>
    <w:p w14:paraId="14E6F34A">
      <w:pPr>
        <w:spacing w:line="320" w:lineRule="exact"/>
        <w:ind w:firstLine="360" w:firstLineChars="200"/>
        <w:rPr>
          <w:rFonts w:hint="eastAsia"/>
          <w:sz w:val="18"/>
          <w:szCs w:val="18"/>
        </w:rPr>
      </w:pPr>
      <w:r>
        <w:rPr>
          <w:rFonts w:hint="eastAsia"/>
          <w:sz w:val="18"/>
          <w:szCs w:val="18"/>
          <w:lang w:val="en-US" w:eastAsia="zh-CN"/>
        </w:rPr>
        <w:t>二十二、</w:t>
      </w:r>
      <w:r>
        <w:rPr>
          <w:rFonts w:hint="eastAsia"/>
          <w:sz w:val="18"/>
          <w:szCs w:val="18"/>
        </w:rPr>
        <w:t>投资者参与该项服务前，请充分了解该项服务可能存在的以下事项，包括但不限于：</w:t>
      </w:r>
    </w:p>
    <w:p w14:paraId="1A69BD80">
      <w:pPr>
        <w:spacing w:line="320" w:lineRule="exact"/>
        <w:ind w:firstLine="360" w:firstLineChars="200"/>
        <w:rPr>
          <w:rFonts w:hint="eastAsia"/>
          <w:sz w:val="18"/>
          <w:szCs w:val="18"/>
        </w:rPr>
      </w:pPr>
      <w:r>
        <w:rPr>
          <w:rFonts w:hint="eastAsia"/>
          <w:sz w:val="18"/>
          <w:szCs w:val="18"/>
        </w:rPr>
        <w:t>（一）可能存在直接导致投资者本金亏损或者直接导致超过原始本金损失的事项；</w:t>
      </w:r>
    </w:p>
    <w:p w14:paraId="71D35D2B">
      <w:pPr>
        <w:spacing w:line="320" w:lineRule="exact"/>
        <w:ind w:firstLine="360" w:firstLineChars="200"/>
        <w:rPr>
          <w:rFonts w:hint="eastAsia"/>
          <w:sz w:val="18"/>
          <w:szCs w:val="18"/>
        </w:rPr>
      </w:pPr>
      <w:r>
        <w:rPr>
          <w:rFonts w:hint="eastAsia"/>
          <w:sz w:val="18"/>
          <w:szCs w:val="18"/>
        </w:rPr>
        <w:t>（二）我公司因停业、解散、撤销、破产，或者被中国证监会撤销相关业务许可、责令停业整顿等原因，可能导致投资者的本金损失或原始本金损失；</w:t>
      </w:r>
    </w:p>
    <w:p w14:paraId="1D886172">
      <w:pPr>
        <w:spacing w:line="320" w:lineRule="exact"/>
        <w:ind w:firstLine="360" w:firstLineChars="200"/>
        <w:rPr>
          <w:rFonts w:hint="eastAsia"/>
          <w:sz w:val="18"/>
          <w:szCs w:val="18"/>
        </w:rPr>
      </w:pPr>
      <w:r>
        <w:rPr>
          <w:rFonts w:hint="eastAsia"/>
          <w:sz w:val="18"/>
          <w:szCs w:val="18"/>
        </w:rPr>
        <w:t>（三）如果相关法律、法规、规章、政策及证券交易所或者中国结算的业务规则发生变化，我公司会依照上述变化变更协议、风险揭示书相关条款，由此可能会影响投资者的投资判断。</w:t>
      </w:r>
    </w:p>
    <w:p w14:paraId="6D24ADDB">
      <w:pPr>
        <w:spacing w:line="320" w:lineRule="exact"/>
        <w:ind w:firstLine="361" w:firstLineChars="200"/>
        <w:rPr>
          <w:rFonts w:hint="default" w:eastAsia="宋体"/>
          <w:b/>
          <w:bCs/>
          <w:sz w:val="18"/>
          <w:szCs w:val="18"/>
          <w:lang w:val="en-US" w:eastAsia="zh-CN"/>
        </w:rPr>
      </w:pPr>
      <w:r>
        <w:rPr>
          <w:rFonts w:hint="eastAsia"/>
          <w:b/>
          <w:bCs/>
          <w:sz w:val="18"/>
          <w:szCs w:val="18"/>
          <w:lang w:val="en-US" w:eastAsia="zh-CN"/>
        </w:rPr>
        <w:t>特别提示：</w:t>
      </w:r>
    </w:p>
    <w:p w14:paraId="031B4DDD">
      <w:pPr>
        <w:spacing w:line="320" w:lineRule="exact"/>
        <w:ind w:firstLine="361" w:firstLineChars="200"/>
        <w:rPr>
          <w:rFonts w:hint="eastAsia"/>
          <w:b/>
          <w:bCs/>
          <w:sz w:val="18"/>
          <w:szCs w:val="18"/>
        </w:rPr>
      </w:pPr>
      <w:r>
        <w:rPr>
          <w:rFonts w:hint="eastAsia"/>
          <w:b/>
          <w:bCs/>
          <w:sz w:val="18"/>
          <w:szCs w:val="18"/>
        </w:rPr>
        <w:t>请确保您所申请开立的账户用途合法，不得利用证券经营机构通道进行非法代客交易，不得存在将账户提供给他人使用或者用于非法代客交易等情形。</w:t>
      </w:r>
    </w:p>
    <w:p w14:paraId="25C6CB7E">
      <w:pPr>
        <w:spacing w:line="320" w:lineRule="exact"/>
        <w:ind w:firstLine="361" w:firstLineChars="200"/>
        <w:rPr>
          <w:rFonts w:hint="eastAsia"/>
          <w:b/>
          <w:sz w:val="18"/>
          <w:szCs w:val="18"/>
        </w:rPr>
      </w:pPr>
      <w:r>
        <w:rPr>
          <w:rFonts w:hint="eastAsia"/>
          <w:b/>
          <w:sz w:val="18"/>
          <w:szCs w:val="18"/>
        </w:rPr>
        <w:t>《东北证券股份有限公司科创板股票交易风险揭示书》（以下简称《风险揭示书》）的揭示事项仅为列举性质，未能详尽</w:t>
      </w:r>
      <w:r>
        <w:rPr>
          <w:rFonts w:hint="eastAsia"/>
          <w:b/>
          <w:sz w:val="18"/>
          <w:szCs w:val="18"/>
          <w:lang w:val="en-US" w:eastAsia="zh-CN"/>
        </w:rPr>
        <w:t>载</w:t>
      </w:r>
      <w:r>
        <w:rPr>
          <w:rFonts w:hint="eastAsia"/>
          <w:b/>
          <w:sz w:val="18"/>
          <w:szCs w:val="18"/>
        </w:rPr>
        <w:t>明</w:t>
      </w:r>
      <w:r>
        <w:rPr>
          <w:rFonts w:hint="eastAsia"/>
          <w:b/>
          <w:sz w:val="18"/>
          <w:szCs w:val="18"/>
          <w:lang w:val="en-US" w:eastAsia="zh-CN"/>
        </w:rPr>
        <w:t>该项业务的</w:t>
      </w:r>
      <w:r>
        <w:rPr>
          <w:rFonts w:hint="eastAsia"/>
          <w:b/>
          <w:sz w:val="18"/>
          <w:szCs w:val="18"/>
        </w:rPr>
        <w:t>所有风险，投资者在参与</w:t>
      </w:r>
      <w:r>
        <w:rPr>
          <w:rFonts w:hint="eastAsia"/>
          <w:b/>
          <w:sz w:val="18"/>
          <w:szCs w:val="18"/>
          <w:lang w:val="en-US" w:eastAsia="zh-CN"/>
        </w:rPr>
        <w:t>该项业务前</w:t>
      </w:r>
      <w:r>
        <w:rPr>
          <w:rFonts w:hint="eastAsia"/>
          <w:b/>
          <w:sz w:val="18"/>
          <w:szCs w:val="18"/>
        </w:rPr>
        <w:t>，应当认真阅读</w:t>
      </w:r>
      <w:r>
        <w:rPr>
          <w:rFonts w:hint="eastAsia"/>
          <w:b/>
          <w:sz w:val="18"/>
          <w:szCs w:val="18"/>
          <w:lang w:val="en-US" w:eastAsia="zh-CN"/>
        </w:rPr>
        <w:t>信息披露公告、业务协议、产品说明书等法律文件，熟悉该项业务相关法律法规</w:t>
      </w:r>
      <w:r>
        <w:rPr>
          <w:rFonts w:hint="eastAsia"/>
          <w:b/>
          <w:sz w:val="18"/>
          <w:szCs w:val="18"/>
          <w:lang w:eastAsia="zh-CN"/>
        </w:rPr>
        <w:t>、</w:t>
      </w:r>
      <w:r>
        <w:rPr>
          <w:rFonts w:hint="eastAsia"/>
          <w:b/>
          <w:sz w:val="18"/>
          <w:szCs w:val="18"/>
          <w:lang w:val="en-US" w:eastAsia="zh-CN"/>
        </w:rPr>
        <w:t>交易所相关业务规则等，</w:t>
      </w:r>
      <w:r>
        <w:rPr>
          <w:rFonts w:hint="eastAsia"/>
          <w:b/>
          <w:sz w:val="18"/>
          <w:szCs w:val="18"/>
        </w:rPr>
        <w:t>对其他可能存在的风险因素也应当有所了解和掌握，并确信自己已做好足够的风险</w:t>
      </w:r>
      <w:r>
        <w:rPr>
          <w:rFonts w:hint="eastAsia"/>
          <w:b/>
          <w:sz w:val="18"/>
          <w:szCs w:val="18"/>
          <w:lang w:val="en-US" w:eastAsia="zh-CN"/>
        </w:rPr>
        <w:t>控制和</w:t>
      </w:r>
      <w:r>
        <w:rPr>
          <w:rFonts w:hint="eastAsia"/>
          <w:b/>
          <w:sz w:val="18"/>
          <w:szCs w:val="18"/>
        </w:rPr>
        <w:t>财务安排，避免因参与</w:t>
      </w:r>
      <w:r>
        <w:rPr>
          <w:rFonts w:hint="eastAsia"/>
          <w:b/>
          <w:sz w:val="18"/>
          <w:szCs w:val="18"/>
          <w:lang w:val="en-US" w:eastAsia="zh-CN"/>
        </w:rPr>
        <w:t>该项业务遭受难以承受的风险</w:t>
      </w:r>
      <w:r>
        <w:rPr>
          <w:rFonts w:hint="eastAsia"/>
          <w:b/>
          <w:sz w:val="18"/>
          <w:szCs w:val="18"/>
        </w:rPr>
        <w:t xml:space="preserve">。 </w:t>
      </w:r>
    </w:p>
    <w:p w14:paraId="48E6380B">
      <w:pPr>
        <w:spacing w:line="320" w:lineRule="exact"/>
        <w:ind w:firstLine="361" w:firstLineChars="200"/>
      </w:pPr>
      <w:r>
        <w:rPr>
          <w:rFonts w:hint="eastAsia"/>
          <w:b/>
          <w:sz w:val="18"/>
          <w:szCs w:val="18"/>
        </w:rPr>
        <w:t>投资者在本《风险揭示书》上签字，即表明投资者已经理解并愿意自行承担参与科创板股票交易的风险和损失。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1260F"/>
    <w:rsid w:val="0C304C9D"/>
    <w:rsid w:val="3A326C73"/>
    <w:rsid w:val="7B01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3044</Words>
  <Characters>3065</Characters>
  <Lines>0</Lines>
  <Paragraphs>0</Paragraphs>
  <TotalTime>0</TotalTime>
  <ScaleCrop>false</ScaleCrop>
  <LinksUpToDate>false</LinksUpToDate>
  <CharactersWithSpaces>3067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2026-07-03T00:40:00Z</dcterms:created>
  <dc:creator>杨贺</dc:creator>
  <cp:lastModifiedBy>徐秀红</cp:lastModifiedBy>
  <dcterms:modified xsi:type="dcterms:W3CDTF">2026-07-03T00:47:02Z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54B6FA667ACA472E8FB2AD99E7A56A53_11</vt:lpwstr>
  </property>
  <property fmtid="{D5CDD505-2E9C-101B-9397-08002B2CF9AE}" pid="4" name="KSOTemplateDocerSaveRecord">
    <vt:lpwstr>eyJoZGlkIjoiMThmNTU2ZTYxMmIzYzAzOWRjODUyOGJjYjMyNjAwYTAiLCJ1c2VySWQiOiIxNjYwNjIxMjg3In0=</vt:lpwstr>
  </property>
</Properties>
</file>